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b/>
          <w:sz w:val="48"/>
          <w:szCs w:val="48"/>
        </w:rPr>
      </w:pPr>
      <w:r>
        <w:rPr>
          <w:rFonts w:hint="eastAsia" w:ascii="宋体" w:hAnsi="宋体"/>
          <w:b/>
          <w:sz w:val="48"/>
          <w:szCs w:val="48"/>
        </w:rPr>
        <w:t>安吉县农村生活污水处理设施运维服务</w:t>
      </w:r>
    </w:p>
    <w:p>
      <w:pPr>
        <w:spacing w:beforeLines="50"/>
        <w:jc w:val="center"/>
        <w:rPr>
          <w:rFonts w:ascii="宋体" w:hAnsi="宋体"/>
          <w:b/>
          <w:sz w:val="48"/>
          <w:szCs w:val="48"/>
        </w:rPr>
      </w:pPr>
      <w:r>
        <w:rPr>
          <w:rFonts w:hint="eastAsia" w:ascii="宋体" w:hAnsi="宋体"/>
          <w:b/>
          <w:sz w:val="48"/>
          <w:szCs w:val="48"/>
        </w:rPr>
        <w:t>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p>
      <w:pPr>
        <w:spacing w:beforeLines="50"/>
        <w:jc w:val="center"/>
        <w:rPr>
          <w:rFonts w:ascii="宋体" w:hAnsi="宋体"/>
          <w:b/>
          <w:sz w:val="52"/>
          <w:szCs w:val="52"/>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11"/>
        <w:snapToGrid w:val="0"/>
        <w:spacing w:before="120" w:after="120"/>
        <w:rPr>
          <w:rFonts w:hAnsi="宋体"/>
          <w:bCs/>
          <w:w w:val="95"/>
          <w:sz w:val="28"/>
          <w:szCs w:val="28"/>
        </w:rPr>
      </w:pPr>
      <w:r>
        <w:rPr>
          <w:rFonts w:hint="eastAsia" w:hAnsi="宋体"/>
          <w:bCs/>
          <w:w w:val="95"/>
          <w:sz w:val="28"/>
          <w:szCs w:val="28"/>
        </w:rPr>
        <w:t xml:space="preserve">项目编号：AJGK2021-008 </w:t>
      </w:r>
    </w:p>
    <w:p>
      <w:pPr>
        <w:pStyle w:val="11"/>
        <w:snapToGrid w:val="0"/>
        <w:spacing w:before="120" w:after="120"/>
        <w:rPr>
          <w:rFonts w:hAnsi="宋体"/>
          <w:bCs/>
          <w:w w:val="95"/>
          <w:sz w:val="28"/>
          <w:szCs w:val="28"/>
        </w:rPr>
      </w:pPr>
      <w:r>
        <w:rPr>
          <w:rFonts w:hint="eastAsia" w:hAnsi="宋体"/>
          <w:bCs/>
          <w:w w:val="95"/>
          <w:sz w:val="28"/>
          <w:szCs w:val="28"/>
        </w:rPr>
        <w:t>项目名称：安吉县农村生活污水处理设施运维服务政府采购项目</w:t>
      </w:r>
    </w:p>
    <w:p>
      <w:pPr>
        <w:pStyle w:val="11"/>
        <w:snapToGrid w:val="0"/>
        <w:spacing w:before="120" w:after="120"/>
        <w:rPr>
          <w:rFonts w:hAnsi="宋体"/>
          <w:bCs/>
          <w:w w:val="95"/>
          <w:sz w:val="28"/>
          <w:szCs w:val="28"/>
        </w:rPr>
      </w:pPr>
      <w:r>
        <w:rPr>
          <w:rFonts w:hint="eastAsia" w:hAnsi="宋体"/>
          <w:bCs/>
          <w:w w:val="95"/>
          <w:sz w:val="28"/>
          <w:szCs w:val="28"/>
        </w:rPr>
        <w:t xml:space="preserve">采购单位：安吉县住房和城乡建设局 </w:t>
      </w:r>
    </w:p>
    <w:p>
      <w:pPr>
        <w:pStyle w:val="11"/>
        <w:snapToGrid w:val="0"/>
        <w:spacing w:before="120" w:after="120"/>
        <w:rPr>
          <w:rFonts w:hAnsi="宋体"/>
          <w:bCs/>
          <w:w w:val="95"/>
          <w:sz w:val="28"/>
          <w:szCs w:val="28"/>
        </w:rPr>
      </w:pPr>
      <w:r>
        <w:rPr>
          <w:rFonts w:hint="eastAsia" w:hAnsi="宋体"/>
          <w:bCs/>
          <w:w w:val="95"/>
          <w:sz w:val="28"/>
          <w:szCs w:val="28"/>
        </w:rPr>
        <w:t>集中采购代理机构：安吉县公共资源交易中心</w:t>
      </w:r>
    </w:p>
    <w:p>
      <w:pPr>
        <w:pStyle w:val="11"/>
        <w:snapToGrid w:val="0"/>
        <w:spacing w:beforeLines="0" w:afterLines="0" w:line="240" w:lineRule="auto"/>
        <w:jc w:val="left"/>
        <w:rPr>
          <w:rFonts w:hAnsi="宋体"/>
          <w:bCs/>
          <w:w w:val="95"/>
          <w:sz w:val="28"/>
          <w:szCs w:val="28"/>
        </w:rPr>
      </w:pPr>
      <w:r>
        <w:rPr>
          <w:rFonts w:hint="eastAsia" w:hAnsi="宋体"/>
          <w:bCs/>
          <w:w w:val="95"/>
          <w:sz w:val="28"/>
          <w:szCs w:val="28"/>
        </w:rPr>
        <w:t>二〇二一年六月</w:t>
      </w:r>
    </w:p>
    <w:p>
      <w:pPr>
        <w:pStyle w:val="11"/>
        <w:spacing w:beforeLines="0" w:afterLines="0" w:line="240" w:lineRule="auto"/>
        <w:jc w:val="center"/>
        <w:rPr>
          <w:rFonts w:hAnsi="宋体"/>
          <w:b/>
          <w:sz w:val="36"/>
          <w:szCs w:val="36"/>
        </w:rPr>
      </w:pPr>
    </w:p>
    <w:p>
      <w:pPr>
        <w:pStyle w:val="11"/>
        <w:spacing w:beforeLines="0" w:afterLines="0" w:line="240" w:lineRule="auto"/>
        <w:jc w:val="center"/>
        <w:rPr>
          <w:rFonts w:hAnsi="宋体"/>
          <w:b/>
          <w:sz w:val="36"/>
          <w:szCs w:val="36"/>
        </w:rPr>
      </w:pPr>
    </w:p>
    <w:p>
      <w:pPr>
        <w:pStyle w:val="11"/>
        <w:spacing w:beforeLines="0" w:afterLines="0" w:line="240" w:lineRule="auto"/>
        <w:jc w:val="center"/>
        <w:rPr>
          <w:rFonts w:hAnsi="宋体"/>
          <w:b/>
          <w:sz w:val="36"/>
          <w:szCs w:val="36"/>
        </w:rPr>
      </w:pPr>
      <w:r>
        <w:rPr>
          <w:rFonts w:hint="eastAsia" w:hAnsi="宋体"/>
          <w:b/>
          <w:sz w:val="36"/>
          <w:szCs w:val="36"/>
        </w:rPr>
        <w:t>目    录</w:t>
      </w:r>
    </w:p>
    <w:p>
      <w:pPr>
        <w:pStyle w:val="11"/>
        <w:spacing w:beforeLines="0" w:afterLines="0" w:line="480" w:lineRule="auto"/>
        <w:jc w:val="center"/>
        <w:rPr>
          <w:rFonts w:hAnsi="宋体"/>
          <w:b/>
          <w:sz w:val="36"/>
          <w:szCs w:val="36"/>
        </w:rPr>
      </w:pPr>
    </w:p>
    <w:p>
      <w:pPr>
        <w:pStyle w:val="16"/>
        <w:tabs>
          <w:tab w:val="right" w:leader="dot" w:pos="8834"/>
        </w:tabs>
        <w:rPr>
          <w:rFonts w:ascii="Calibri" w:hAnsi="Calibri"/>
          <w:sz w:val="21"/>
          <w:szCs w:val="22"/>
        </w:rPr>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fldChar w:fldCharType="begin"/>
      </w:r>
      <w:r>
        <w:instrText xml:space="preserve"> HYPERLINK \l "_Toc452125553" </w:instrText>
      </w:r>
      <w:r>
        <w:fldChar w:fldCharType="separate"/>
      </w:r>
      <w:r>
        <w:rPr>
          <w:rStyle w:val="28"/>
          <w:rFonts w:hint="eastAsia"/>
        </w:rPr>
        <w:t>第一章</w:t>
      </w:r>
      <w:r>
        <w:rPr>
          <w:rStyle w:val="28"/>
        </w:rPr>
        <w:t xml:space="preserve">  </w:t>
      </w:r>
      <w:r>
        <w:rPr>
          <w:rStyle w:val="28"/>
          <w:rFonts w:hint="eastAsia"/>
        </w:rPr>
        <w:t>公开招标采购公告</w:t>
      </w:r>
      <w:r>
        <w:tab/>
      </w:r>
      <w:r>
        <w:fldChar w:fldCharType="begin"/>
      </w:r>
      <w:r>
        <w:instrText xml:space="preserve"> PAGEREF _Toc452125553 \h </w:instrText>
      </w:r>
      <w:r>
        <w:fldChar w:fldCharType="separate"/>
      </w:r>
      <w:r>
        <w:t>3</w:t>
      </w:r>
      <w:r>
        <w:fldChar w:fldCharType="end"/>
      </w:r>
      <w:r>
        <w:fldChar w:fldCharType="end"/>
      </w:r>
    </w:p>
    <w:p>
      <w:pPr>
        <w:pStyle w:val="16"/>
        <w:tabs>
          <w:tab w:val="right" w:leader="dot" w:pos="8834"/>
        </w:tabs>
        <w:rPr>
          <w:rFonts w:ascii="Calibri" w:hAnsi="Calibri"/>
          <w:sz w:val="21"/>
          <w:szCs w:val="22"/>
        </w:rPr>
      </w:pPr>
      <w:r>
        <w:fldChar w:fldCharType="begin"/>
      </w:r>
      <w:r>
        <w:instrText xml:space="preserve"> HYPERLINK \l "_Toc452125554" </w:instrText>
      </w:r>
      <w:r>
        <w:fldChar w:fldCharType="separate"/>
      </w:r>
      <w:r>
        <w:rPr>
          <w:rStyle w:val="28"/>
          <w:rFonts w:hint="eastAsia"/>
        </w:rPr>
        <w:t>第二章</w:t>
      </w:r>
      <w:r>
        <w:rPr>
          <w:rStyle w:val="28"/>
        </w:rPr>
        <w:t xml:space="preserve">  </w:t>
      </w:r>
      <w:r>
        <w:rPr>
          <w:rStyle w:val="28"/>
          <w:rFonts w:hint="eastAsia"/>
        </w:rPr>
        <w:t>投标人须知</w:t>
      </w:r>
      <w:r>
        <w:tab/>
      </w:r>
      <w:r>
        <w:fldChar w:fldCharType="begin"/>
      </w:r>
      <w:r>
        <w:instrText xml:space="preserve"> PAGEREF _Toc452125554 \h </w:instrText>
      </w:r>
      <w:r>
        <w:fldChar w:fldCharType="separate"/>
      </w:r>
      <w:r>
        <w:t>6</w:t>
      </w:r>
      <w:r>
        <w:fldChar w:fldCharType="end"/>
      </w:r>
      <w:r>
        <w:fldChar w:fldCharType="end"/>
      </w:r>
    </w:p>
    <w:p>
      <w:pPr>
        <w:pStyle w:val="16"/>
        <w:tabs>
          <w:tab w:val="right" w:leader="dot" w:pos="8834"/>
        </w:tabs>
        <w:rPr>
          <w:rFonts w:ascii="Calibri" w:hAnsi="Calibri"/>
          <w:sz w:val="21"/>
          <w:szCs w:val="22"/>
        </w:rPr>
      </w:pPr>
      <w:r>
        <w:fldChar w:fldCharType="begin"/>
      </w:r>
      <w:r>
        <w:instrText xml:space="preserve"> HYPERLINK \l "_Toc452125555" </w:instrText>
      </w:r>
      <w:r>
        <w:fldChar w:fldCharType="separate"/>
      </w:r>
      <w:r>
        <w:rPr>
          <w:rStyle w:val="28"/>
          <w:rFonts w:hint="eastAsia"/>
        </w:rPr>
        <w:t>第三章</w:t>
      </w:r>
      <w:r>
        <w:rPr>
          <w:rStyle w:val="28"/>
        </w:rPr>
        <w:t xml:space="preserve">  </w:t>
      </w:r>
      <w:r>
        <w:rPr>
          <w:rStyle w:val="28"/>
          <w:rFonts w:hint="eastAsia"/>
        </w:rPr>
        <w:t>招标需求</w:t>
      </w:r>
      <w:r>
        <w:tab/>
      </w:r>
      <w:r>
        <w:fldChar w:fldCharType="begin"/>
      </w:r>
      <w:r>
        <w:instrText xml:space="preserve"> PAGEREF _Toc452125555 \h </w:instrText>
      </w:r>
      <w:r>
        <w:fldChar w:fldCharType="separate"/>
      </w:r>
      <w:r>
        <w:t>17</w:t>
      </w:r>
      <w:r>
        <w:fldChar w:fldCharType="end"/>
      </w:r>
      <w:r>
        <w:fldChar w:fldCharType="end"/>
      </w:r>
    </w:p>
    <w:p>
      <w:pPr>
        <w:pStyle w:val="16"/>
        <w:tabs>
          <w:tab w:val="right" w:leader="dot" w:pos="8834"/>
        </w:tabs>
        <w:rPr>
          <w:rFonts w:ascii="Calibri" w:hAnsi="Calibri"/>
          <w:sz w:val="21"/>
          <w:szCs w:val="22"/>
        </w:rPr>
      </w:pPr>
      <w:r>
        <w:fldChar w:fldCharType="begin"/>
      </w:r>
      <w:r>
        <w:instrText xml:space="preserve"> HYPERLINK \l "_Toc452125560" </w:instrText>
      </w:r>
      <w:r>
        <w:fldChar w:fldCharType="separate"/>
      </w:r>
      <w:r>
        <w:rPr>
          <w:rStyle w:val="28"/>
          <w:rFonts w:hint="eastAsia"/>
        </w:rPr>
        <w:t>第四章</w:t>
      </w:r>
      <w:r>
        <w:rPr>
          <w:rStyle w:val="28"/>
        </w:rPr>
        <w:t xml:space="preserve">  </w:t>
      </w:r>
      <w:r>
        <w:rPr>
          <w:rStyle w:val="28"/>
          <w:rFonts w:hint="eastAsia"/>
        </w:rPr>
        <w:t>评分办法及评分标准</w:t>
      </w:r>
      <w:r>
        <w:tab/>
      </w:r>
      <w:r>
        <w:rPr>
          <w:rFonts w:hint="eastAsia"/>
        </w:rPr>
        <w:t>33</w:t>
      </w:r>
      <w:r>
        <w:rPr>
          <w:rFonts w:hint="eastAsia"/>
        </w:rPr>
        <w:fldChar w:fldCharType="end"/>
      </w:r>
    </w:p>
    <w:p>
      <w:pPr>
        <w:pStyle w:val="16"/>
        <w:tabs>
          <w:tab w:val="right" w:leader="dot" w:pos="8834"/>
        </w:tabs>
        <w:rPr>
          <w:rFonts w:ascii="Calibri" w:hAnsi="Calibri"/>
          <w:sz w:val="21"/>
          <w:szCs w:val="22"/>
        </w:rPr>
      </w:pPr>
      <w:r>
        <w:fldChar w:fldCharType="begin"/>
      </w:r>
      <w:r>
        <w:instrText xml:space="preserve"> HYPERLINK \l "_Toc452125561" </w:instrText>
      </w:r>
      <w:r>
        <w:fldChar w:fldCharType="separate"/>
      </w:r>
      <w:r>
        <w:rPr>
          <w:rStyle w:val="28"/>
          <w:rFonts w:hint="eastAsia"/>
        </w:rPr>
        <w:t>第五章</w:t>
      </w:r>
      <w:r>
        <w:rPr>
          <w:rStyle w:val="28"/>
        </w:rPr>
        <w:t xml:space="preserve">  </w:t>
      </w:r>
      <w:r>
        <w:rPr>
          <w:rStyle w:val="28"/>
          <w:rFonts w:hint="eastAsia"/>
        </w:rPr>
        <w:t>合同主要条款（仅供参考）</w:t>
      </w:r>
      <w:r>
        <w:tab/>
      </w:r>
      <w:r>
        <w:fldChar w:fldCharType="end"/>
      </w:r>
      <w:r>
        <w:rPr>
          <w:rFonts w:hint="eastAsia"/>
        </w:rPr>
        <w:t>36</w:t>
      </w:r>
    </w:p>
    <w:p>
      <w:pPr>
        <w:pStyle w:val="16"/>
        <w:tabs>
          <w:tab w:val="right" w:leader="dot" w:pos="8834"/>
        </w:tabs>
        <w:rPr>
          <w:rFonts w:ascii="Calibri" w:hAnsi="Calibri"/>
          <w:sz w:val="21"/>
          <w:szCs w:val="22"/>
        </w:rPr>
      </w:pPr>
      <w:r>
        <w:fldChar w:fldCharType="begin"/>
      </w:r>
      <w:r>
        <w:instrText xml:space="preserve"> HYPERLINK \l "_Toc452125562" </w:instrText>
      </w:r>
      <w:r>
        <w:fldChar w:fldCharType="separate"/>
      </w:r>
      <w:r>
        <w:rPr>
          <w:rStyle w:val="28"/>
          <w:rFonts w:hint="eastAsia"/>
        </w:rPr>
        <w:t xml:space="preserve">第六章 </w:t>
      </w:r>
      <w:r>
        <w:rPr>
          <w:rStyle w:val="28"/>
        </w:rPr>
        <w:t xml:space="preserve"> </w:t>
      </w:r>
      <w:r>
        <w:rPr>
          <w:rStyle w:val="28"/>
          <w:rFonts w:hint="eastAsia"/>
        </w:rPr>
        <w:t>投标文件格式附件</w:t>
      </w:r>
      <w:r>
        <w:tab/>
      </w:r>
      <w:r>
        <w:fldChar w:fldCharType="end"/>
      </w:r>
      <w:r>
        <w:rPr>
          <w:rFonts w:hint="eastAsia"/>
        </w:rPr>
        <w:t>39</w:t>
      </w:r>
    </w:p>
    <w:p>
      <w:pPr>
        <w:pStyle w:val="20"/>
        <w:spacing w:line="360" w:lineRule="exact"/>
      </w:pPr>
      <w:r>
        <w:rPr>
          <w:sz w:val="28"/>
          <w:szCs w:val="28"/>
        </w:rPr>
        <w:fldChar w:fldCharType="end"/>
      </w:r>
      <w:r>
        <w:rPr>
          <w:rFonts w:hint="eastAsia"/>
          <w:sz w:val="28"/>
          <w:szCs w:val="28"/>
        </w:rPr>
        <w:br w:type="page"/>
      </w:r>
      <w:r>
        <w:rPr>
          <w:rFonts w:hint="eastAsia"/>
          <w:sz w:val="28"/>
          <w:szCs w:val="28"/>
        </w:rPr>
        <w:t xml:space="preserve">         </w:t>
      </w:r>
      <w:bookmarkStart w:id="0" w:name="_Toc452125553"/>
      <w:r>
        <w:rPr>
          <w:rFonts w:hint="eastAsia"/>
        </w:rPr>
        <w:t>第一章  公开招标采购公告</w:t>
      </w:r>
      <w:bookmarkEnd w:id="0"/>
    </w:p>
    <w:p>
      <w:pPr>
        <w:snapToGrid w:val="0"/>
        <w:spacing w:line="360" w:lineRule="exact"/>
        <w:ind w:firstLine="420" w:firstLineChars="200"/>
        <w:rPr>
          <w:rFonts w:ascii="宋体" w:hAnsi="宋体" w:cs="Arial"/>
          <w:szCs w:val="21"/>
        </w:rPr>
      </w:pPr>
    </w:p>
    <w:p>
      <w:pPr>
        <w:spacing w:line="360" w:lineRule="exact"/>
        <w:ind w:firstLine="420" w:firstLineChars="200"/>
        <w:rPr>
          <w:rFonts w:ascii="宋体" w:hAnsi="宋体" w:cs="Arial"/>
          <w:szCs w:val="21"/>
        </w:rPr>
      </w:pPr>
      <w:r>
        <w:rPr>
          <w:rFonts w:hint="eastAsia" w:ascii="宋体" w:hAnsi="宋体" w:cs="Arial"/>
          <w:szCs w:val="21"/>
        </w:rPr>
        <w:t>根据《中华人民共和国政府采购法》、《政府采购货物和服务招标投标管理办法》、《浙江省政府采购电子交易管理暂行办法》等规定，经安吉县财政局批准，现就安吉县农村生活污水处理设施运维服务政府采购项目以</w:t>
      </w:r>
      <w:r>
        <w:rPr>
          <w:rFonts w:hint="eastAsia" w:ascii="宋体" w:hAnsi="宋体" w:cs="Arial"/>
          <w:b/>
          <w:bCs/>
          <w:color w:val="FF0000"/>
          <w:szCs w:val="21"/>
        </w:rPr>
        <w:t>电子投标形式</w:t>
      </w:r>
      <w:r>
        <w:rPr>
          <w:rFonts w:hint="eastAsia" w:ascii="宋体" w:hAnsi="宋体" w:cs="Arial"/>
          <w:szCs w:val="21"/>
        </w:rPr>
        <w:t>进行公开招标，欢迎国内合格的投标供应商前来参加投标。</w:t>
      </w:r>
    </w:p>
    <w:p>
      <w:pPr>
        <w:spacing w:line="360" w:lineRule="exact"/>
        <w:rPr>
          <w:rFonts w:ascii="宋体" w:hAnsi="宋体" w:cs="宋体"/>
          <w:b/>
          <w:sz w:val="24"/>
          <w:szCs w:val="24"/>
        </w:rPr>
      </w:pPr>
      <w:bookmarkStart w:id="1" w:name="_Toc28359079"/>
      <w:bookmarkStart w:id="2" w:name="_Toc35393790"/>
      <w:bookmarkStart w:id="3" w:name="_Toc35393621"/>
      <w:bookmarkStart w:id="4" w:name="_Toc28359002"/>
      <w:r>
        <w:rPr>
          <w:rFonts w:hint="eastAsia" w:ascii="宋体" w:hAnsi="宋体" w:cs="宋体"/>
          <w:b/>
          <w:sz w:val="24"/>
          <w:szCs w:val="24"/>
        </w:rPr>
        <w:t>一、项目基本情况</w:t>
      </w:r>
      <w:bookmarkEnd w:id="1"/>
      <w:bookmarkEnd w:id="2"/>
      <w:bookmarkEnd w:id="3"/>
      <w:bookmarkEnd w:id="4"/>
    </w:p>
    <w:p>
      <w:pPr>
        <w:spacing w:line="360" w:lineRule="exact"/>
        <w:ind w:firstLine="420" w:firstLineChars="200"/>
        <w:rPr>
          <w:rFonts w:ascii="宋体" w:hAnsi="宋体" w:cs="Arial"/>
          <w:szCs w:val="21"/>
        </w:rPr>
      </w:pPr>
      <w:r>
        <w:rPr>
          <w:rFonts w:hint="eastAsia" w:ascii="宋体" w:hAnsi="宋体" w:cs="Arial"/>
          <w:szCs w:val="21"/>
        </w:rPr>
        <w:t>项目编号：AJGK2021-008</w:t>
      </w:r>
    </w:p>
    <w:p>
      <w:pPr>
        <w:spacing w:line="360" w:lineRule="exact"/>
        <w:ind w:firstLine="420" w:firstLineChars="200"/>
        <w:rPr>
          <w:rFonts w:ascii="宋体" w:hAnsi="宋体" w:cs="Arial"/>
          <w:szCs w:val="21"/>
        </w:rPr>
      </w:pPr>
      <w:r>
        <w:rPr>
          <w:rFonts w:hint="eastAsia" w:ascii="宋体" w:hAnsi="宋体" w:cs="Arial"/>
          <w:szCs w:val="21"/>
        </w:rPr>
        <w:t>财政审批编号：</w:t>
      </w:r>
      <w:r>
        <w:fldChar w:fldCharType="begin"/>
      </w:r>
      <w:r>
        <w:instrText xml:space="preserve"> HYPERLINK "https://pay.zcygov.cn/purchaseplan_front/" \l "/order/_blank" \t "https://www.zcygov.cn/bidding-entrust/" </w:instrText>
      </w:r>
      <w:r>
        <w:fldChar w:fldCharType="separate"/>
      </w:r>
      <w:r>
        <w:rPr>
          <w:rFonts w:hint="eastAsia" w:ascii="宋体" w:hAnsi="宋体" w:cs="Arial"/>
          <w:szCs w:val="21"/>
        </w:rPr>
        <w:t>临[2021]1557号</w:t>
      </w:r>
      <w:r>
        <w:rPr>
          <w:rFonts w:hint="eastAsia" w:ascii="宋体" w:hAnsi="宋体" w:cs="Arial"/>
          <w:szCs w:val="21"/>
        </w:rPr>
        <w:fldChar w:fldCharType="end"/>
      </w:r>
    </w:p>
    <w:p>
      <w:pPr>
        <w:spacing w:line="360" w:lineRule="exact"/>
        <w:ind w:firstLine="420" w:firstLineChars="200"/>
        <w:rPr>
          <w:rFonts w:ascii="宋体" w:hAnsi="宋体" w:cs="Arial"/>
          <w:szCs w:val="21"/>
        </w:rPr>
      </w:pPr>
      <w:r>
        <w:rPr>
          <w:rFonts w:hint="eastAsia" w:ascii="宋体" w:hAnsi="宋体" w:cs="Arial"/>
          <w:szCs w:val="21"/>
        </w:rPr>
        <w:t>项目名称：安吉县农村生活污水处理设施运维服务政府采购项目</w:t>
      </w:r>
    </w:p>
    <w:p>
      <w:pPr>
        <w:spacing w:line="360" w:lineRule="exact"/>
        <w:ind w:firstLine="420" w:firstLineChars="200"/>
        <w:rPr>
          <w:rFonts w:ascii="宋体" w:hAnsi="宋体" w:cs="Arial"/>
          <w:szCs w:val="21"/>
        </w:rPr>
      </w:pPr>
      <w:r>
        <w:rPr>
          <w:rFonts w:hint="eastAsia" w:ascii="宋体" w:hAnsi="宋体" w:cs="Arial"/>
          <w:szCs w:val="21"/>
        </w:rPr>
        <w:t>预算金额：2500万元</w:t>
      </w:r>
    </w:p>
    <w:p>
      <w:pPr>
        <w:spacing w:line="360" w:lineRule="exact"/>
        <w:ind w:firstLine="420" w:firstLineChars="200"/>
        <w:rPr>
          <w:rFonts w:ascii="宋体" w:hAnsi="宋体" w:cs="Arial"/>
          <w:szCs w:val="21"/>
        </w:rPr>
      </w:pPr>
      <w:r>
        <w:rPr>
          <w:rFonts w:hint="eastAsia" w:ascii="宋体" w:hAnsi="宋体" w:cs="Arial"/>
          <w:szCs w:val="21"/>
        </w:rPr>
        <w:t>合同履行期限：</w:t>
      </w:r>
      <w:r>
        <w:rPr>
          <w:rFonts w:hint="eastAsia" w:ascii="宋体" w:hAnsi="宋体" w:cs="Arial"/>
          <w:szCs w:val="21"/>
          <w:u w:val="single"/>
        </w:rPr>
        <w:t>合同签订后一年内，根据履约情况续约，最多续约至2025年10月底</w:t>
      </w:r>
    </w:p>
    <w:p>
      <w:pPr>
        <w:snapToGrid w:val="0"/>
        <w:spacing w:line="360" w:lineRule="exact"/>
        <w:ind w:firstLine="420" w:firstLineChars="200"/>
      </w:pPr>
      <w:r>
        <w:rPr>
          <w:rFonts w:hint="eastAsia" w:ascii="宋体" w:hAnsi="宋体" w:cs="Arial"/>
          <w:szCs w:val="21"/>
        </w:rPr>
        <w:t>不接受联合体投标，</w:t>
      </w:r>
      <w:r>
        <w:rPr>
          <w:rFonts w:hint="eastAsia"/>
        </w:rPr>
        <w:t>拒绝转包分包。</w:t>
      </w:r>
    </w:p>
    <w:p>
      <w:pPr>
        <w:spacing w:line="360" w:lineRule="exact"/>
        <w:rPr>
          <w:rFonts w:ascii="宋体" w:hAnsi="宋体" w:cs="宋体"/>
          <w:b/>
          <w:sz w:val="24"/>
          <w:szCs w:val="24"/>
        </w:rPr>
      </w:pPr>
      <w:bookmarkStart w:id="5" w:name="_Toc28359003"/>
      <w:bookmarkStart w:id="6" w:name="_Toc35393791"/>
      <w:bookmarkStart w:id="7" w:name="_Toc28359080"/>
      <w:bookmarkStart w:id="8" w:name="_Toc35393622"/>
      <w:r>
        <w:rPr>
          <w:rFonts w:hint="eastAsia" w:ascii="宋体" w:hAnsi="宋体" w:cs="宋体"/>
          <w:b/>
          <w:sz w:val="24"/>
          <w:szCs w:val="24"/>
        </w:rPr>
        <w:t>二、投标人的资格要求</w:t>
      </w:r>
      <w:bookmarkEnd w:id="5"/>
      <w:bookmarkEnd w:id="6"/>
      <w:bookmarkEnd w:id="7"/>
      <w:bookmarkEnd w:id="8"/>
    </w:p>
    <w:p>
      <w:pPr>
        <w:snapToGrid w:val="0"/>
        <w:spacing w:line="360" w:lineRule="exact"/>
        <w:ind w:firstLine="420" w:firstLineChars="200"/>
        <w:rPr>
          <w:rFonts w:ascii="宋体" w:hAnsi="宋体" w:cs="宋体"/>
          <w:szCs w:val="21"/>
        </w:rPr>
      </w:pPr>
      <w:r>
        <w:rPr>
          <w:rFonts w:hint="eastAsia" w:ascii="宋体" w:hAnsi="宋体" w:cs="Arial"/>
          <w:szCs w:val="21"/>
        </w:rPr>
        <w:t>1、符合《中华人民共和国政府采购法》第二十二条和《关于规范政府采购供应商资格设定及资格审查的通知》(浙财采监[2013]24号)第六条规定，且未被“信用中国”（</w:t>
      </w:r>
      <w:r>
        <w:rPr>
          <w:rStyle w:val="28"/>
          <w:rFonts w:hint="eastAsia" w:ascii="宋体" w:hAnsi="宋体" w:cs="Arial" w:eastAsiaTheme="minorEastAsia"/>
          <w:szCs w:val="21"/>
        </w:rPr>
        <w:t>www.creditchina.gov.cn</w:t>
      </w:r>
      <w:r>
        <w:rPr>
          <w:rFonts w:hint="eastAsia" w:ascii="宋体" w:hAnsi="宋体" w:cs="Arial"/>
          <w:szCs w:val="21"/>
        </w:rPr>
        <w:t>）、中国政府采购网（</w:t>
      </w:r>
      <w:r>
        <w:rPr>
          <w:rStyle w:val="28"/>
          <w:rFonts w:hint="eastAsia" w:ascii="宋体" w:hAnsi="宋体" w:cs="Arial" w:eastAsiaTheme="minorEastAsia"/>
          <w:szCs w:val="21"/>
        </w:rPr>
        <w:t>www.ccgp.gov.cn</w:t>
      </w:r>
      <w:r>
        <w:rPr>
          <w:rFonts w:hint="eastAsia" w:ascii="宋体" w:hAnsi="宋体" w:cs="Arial"/>
          <w:szCs w:val="21"/>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Arial"/>
          <w:szCs w:val="21"/>
        </w:rPr>
        <w:t>）</w:t>
      </w:r>
    </w:p>
    <w:p>
      <w:pPr>
        <w:snapToGrid w:val="0"/>
        <w:spacing w:line="360" w:lineRule="exact"/>
        <w:ind w:firstLine="420" w:firstLineChars="200"/>
        <w:rPr>
          <w:rFonts w:ascii="仿宋" w:hAnsi="仿宋" w:eastAsia="仿宋"/>
          <w:sz w:val="28"/>
          <w:szCs w:val="28"/>
        </w:rPr>
      </w:pPr>
      <w:r>
        <w:rPr>
          <w:rFonts w:hint="eastAsia" w:ascii="宋体" w:hAnsi="宋体" w:cs="Arial"/>
          <w:szCs w:val="21"/>
        </w:rPr>
        <w:t>2、落实政府采购政策需满足的资格要求：本项目只面向中小微企业采购，</w:t>
      </w:r>
      <w:r>
        <w:rPr>
          <w:rFonts w:hint="eastAsia"/>
        </w:rPr>
        <w:t>须提供中小微企业声明函</w:t>
      </w:r>
      <w:r>
        <w:rPr>
          <w:rFonts w:hint="eastAsia" w:ascii="宋体" w:hAnsi="宋体" w:cs="Arial"/>
          <w:szCs w:val="21"/>
        </w:rPr>
        <w:t>。</w:t>
      </w:r>
    </w:p>
    <w:p>
      <w:pPr>
        <w:spacing w:line="360" w:lineRule="exact"/>
        <w:rPr>
          <w:rFonts w:ascii="宋体" w:hAnsi="宋体" w:cs="宋体"/>
          <w:b/>
          <w:sz w:val="24"/>
          <w:szCs w:val="24"/>
        </w:rPr>
      </w:pPr>
      <w:bookmarkStart w:id="9" w:name="_Toc28359004"/>
      <w:bookmarkStart w:id="10" w:name="_Toc35393792"/>
      <w:bookmarkStart w:id="11" w:name="_Toc28359081"/>
      <w:bookmarkStart w:id="12" w:name="_Toc35393623"/>
      <w:r>
        <w:rPr>
          <w:rFonts w:hint="eastAsia" w:ascii="宋体" w:hAnsi="宋体" w:cs="宋体"/>
          <w:b/>
          <w:sz w:val="24"/>
          <w:szCs w:val="24"/>
        </w:rPr>
        <w:t>三、获取招标文件</w:t>
      </w:r>
      <w:bookmarkEnd w:id="9"/>
      <w:bookmarkEnd w:id="10"/>
      <w:bookmarkEnd w:id="11"/>
      <w:bookmarkEnd w:id="12"/>
    </w:p>
    <w:p>
      <w:pPr>
        <w:snapToGrid w:val="0"/>
        <w:spacing w:line="360" w:lineRule="exact"/>
        <w:ind w:firstLine="420" w:firstLineChars="200"/>
        <w:rPr>
          <w:rFonts w:ascii="宋体" w:hAnsi="宋体" w:cs="Arial"/>
          <w:szCs w:val="21"/>
        </w:rPr>
      </w:pPr>
      <w:r>
        <w:rPr>
          <w:rFonts w:hint="eastAsia" w:ascii="宋体" w:hAnsi="宋体" w:cs="Arial"/>
          <w:szCs w:val="21"/>
        </w:rPr>
        <w:t>1、获取时间：公告发布时间 至 投标截止时间</w:t>
      </w:r>
    </w:p>
    <w:p>
      <w:pPr>
        <w:snapToGrid w:val="0"/>
        <w:spacing w:line="360" w:lineRule="exact"/>
        <w:ind w:firstLine="420" w:firstLineChars="200"/>
        <w:rPr>
          <w:rFonts w:ascii="宋体" w:hAnsi="宋体" w:cs="Arial"/>
          <w:szCs w:val="21"/>
        </w:rPr>
      </w:pPr>
      <w:r>
        <w:rPr>
          <w:rFonts w:hint="eastAsia" w:ascii="宋体" w:hAnsi="宋体" w:cs="Arial"/>
          <w:szCs w:val="21"/>
        </w:rPr>
        <w:t xml:space="preserve">2、获取地点：政府采购云平台（http://www.zcygov.cn/） </w:t>
      </w:r>
    </w:p>
    <w:p>
      <w:pPr>
        <w:snapToGrid w:val="0"/>
        <w:spacing w:line="360" w:lineRule="exact"/>
        <w:ind w:firstLine="420" w:firstLineChars="200"/>
        <w:rPr>
          <w:rFonts w:ascii="宋体" w:hAnsi="宋体" w:cs="Arial"/>
          <w:szCs w:val="21"/>
        </w:rPr>
      </w:pPr>
      <w:r>
        <w:rPr>
          <w:rFonts w:hint="eastAsia" w:ascii="宋体" w:hAnsi="宋体" w:cs="Arial"/>
          <w:szCs w:val="21"/>
        </w:rPr>
        <w:t>3、获取方式：网上在线申请。注册成为政采云平台供应商后登录浙江政府采购云平台</w:t>
      </w:r>
      <w:r>
        <w:fldChar w:fldCharType="begin"/>
      </w:r>
      <w:r>
        <w:instrText xml:space="preserve"> HYPERLINK "http://www.zcygov.cn/" </w:instrText>
      </w:r>
      <w:r>
        <w:fldChar w:fldCharType="separate"/>
      </w:r>
      <w:r>
        <w:rPr>
          <w:rStyle w:val="28"/>
          <w:rFonts w:hint="eastAsia" w:ascii="宋体" w:hAnsi="宋体" w:cs="Arial" w:eastAsiaTheme="minorEastAsia"/>
          <w:szCs w:val="21"/>
        </w:rPr>
        <w:t>http://www.zcygov.cn/</w:t>
      </w:r>
      <w:r>
        <w:rPr>
          <w:rStyle w:val="28"/>
          <w:rFonts w:hint="eastAsia" w:ascii="宋体" w:hAnsi="宋体" w:cs="Arial" w:eastAsiaTheme="minorEastAsia"/>
          <w:szCs w:val="21"/>
        </w:rPr>
        <w:fldChar w:fldCharType="end"/>
      </w:r>
      <w:r>
        <w:rPr>
          <w:rFonts w:hint="eastAsia" w:ascii="宋体" w:hAnsi="宋体" w:cs="Arial"/>
          <w:szCs w:val="21"/>
        </w:rPr>
        <w:t>进行申请。申请通过后请自行在浙江政府采购网</w:t>
      </w:r>
      <w:r>
        <w:rPr>
          <w:rStyle w:val="28"/>
          <w:rFonts w:hint="eastAsia" w:ascii="宋体" w:hAnsi="宋体" w:cs="Arial" w:eastAsiaTheme="minorEastAsia"/>
          <w:szCs w:val="21"/>
        </w:rPr>
        <w:t>http://zfcg.czt.zj.gov.cn/</w:t>
      </w:r>
      <w:r>
        <w:rPr>
          <w:rFonts w:hint="eastAsia" w:ascii="宋体" w:hAnsi="宋体" w:cs="Arial"/>
          <w:szCs w:val="21"/>
        </w:rPr>
        <w:t>或者安吉县公共资源交易信息网</w:t>
      </w:r>
      <w:r>
        <w:rPr>
          <w:rStyle w:val="28"/>
          <w:rFonts w:hint="eastAsia" w:ascii="宋体" w:hAnsi="宋体" w:cs="Arial" w:eastAsiaTheme="minorEastAsia"/>
          <w:szCs w:val="21"/>
        </w:rPr>
        <w:t xml:space="preserve"> http：//www.ajztb.com／</w:t>
      </w:r>
      <w:r>
        <w:rPr>
          <w:rFonts w:hint="eastAsia" w:ascii="宋体" w:hAnsi="宋体" w:cs="Arial"/>
          <w:szCs w:val="21"/>
        </w:rPr>
        <w:t>下载。</w:t>
      </w:r>
      <w:r>
        <w:rPr>
          <w:rFonts w:hint="eastAsia" w:ascii="宋体" w:hAnsi="宋体" w:cs="宋体"/>
          <w:color w:val="000000"/>
          <w:kern w:val="0"/>
          <w:szCs w:val="21"/>
        </w:rPr>
        <w:t>不</w:t>
      </w:r>
      <w:r>
        <w:rPr>
          <w:rFonts w:hint="eastAsia" w:ascii="宋体" w:hAnsi="宋体" w:cs="Arial"/>
          <w:szCs w:val="21"/>
        </w:rPr>
        <w:t>提供招标文件纸质版。参加投标的供应商获取招标文件前应先完成“政府采购云平台”的账号注册同时办理CA领取。</w:t>
      </w:r>
    </w:p>
    <w:p>
      <w:pPr>
        <w:snapToGrid w:val="0"/>
        <w:spacing w:line="360" w:lineRule="exact"/>
        <w:ind w:firstLine="420" w:firstLineChars="200"/>
        <w:rPr>
          <w:rFonts w:ascii="宋体" w:hAnsi="宋体" w:cs="Arial"/>
          <w:szCs w:val="21"/>
        </w:rPr>
      </w:pPr>
      <w:r>
        <w:rPr>
          <w:rFonts w:hint="eastAsia" w:ascii="宋体" w:hAnsi="宋体" w:cs="Arial"/>
          <w:szCs w:val="21"/>
        </w:rPr>
        <w:t>供应商注册入驻操作指南：</w:t>
      </w:r>
    </w:p>
    <w:p>
      <w:pPr>
        <w:snapToGrid w:val="0"/>
        <w:spacing w:line="360" w:lineRule="exact"/>
        <w:ind w:firstLine="420" w:firstLineChars="200"/>
        <w:rPr>
          <w:rStyle w:val="28"/>
          <w:rFonts w:ascii="宋体" w:hAnsi="宋体" w:cs="Arial" w:eastAsiaTheme="minorEastAsia"/>
          <w:szCs w:val="21"/>
        </w:rPr>
      </w:pPr>
      <w:r>
        <w:rPr>
          <w:rStyle w:val="28"/>
          <w:rFonts w:hint="eastAsia" w:ascii="宋体" w:hAnsi="宋体" w:cs="Arial" w:eastAsiaTheme="minorEastAsia"/>
          <w:szCs w:val="21"/>
        </w:rPr>
        <w:t>https://service.zcygov.cn/#/knowledges/cm2eqWwBFdiHxlNd_otq/w3Cd3GwBFdiHxlNd-BRD</w:t>
      </w:r>
    </w:p>
    <w:p>
      <w:pPr>
        <w:snapToGrid w:val="0"/>
        <w:spacing w:line="360" w:lineRule="exact"/>
        <w:ind w:firstLine="420" w:firstLineChars="200"/>
        <w:rPr>
          <w:rFonts w:ascii="宋体" w:hAnsi="宋体" w:cs="Arial"/>
          <w:szCs w:val="21"/>
        </w:rPr>
      </w:pPr>
      <w:r>
        <w:rPr>
          <w:rFonts w:hint="eastAsia" w:ascii="宋体" w:hAnsi="宋体" w:cs="Arial"/>
          <w:szCs w:val="21"/>
        </w:rPr>
        <w:t>注册咨询电话：400-881-7190</w:t>
      </w:r>
    </w:p>
    <w:p>
      <w:pPr>
        <w:snapToGrid w:val="0"/>
        <w:spacing w:line="360" w:lineRule="exact"/>
        <w:ind w:firstLine="420" w:firstLineChars="200"/>
        <w:rPr>
          <w:rFonts w:ascii="宋体" w:hAnsi="宋体" w:cs="Arial"/>
          <w:szCs w:val="21"/>
        </w:rPr>
      </w:pPr>
      <w:r>
        <w:rPr>
          <w:rFonts w:hint="eastAsia" w:ascii="宋体" w:hAnsi="宋体" w:cs="Arial"/>
          <w:szCs w:val="21"/>
        </w:rPr>
        <w:t>4、投标保证金：不缴纳</w:t>
      </w:r>
    </w:p>
    <w:p>
      <w:pPr>
        <w:snapToGrid w:val="0"/>
        <w:spacing w:line="360" w:lineRule="exact"/>
        <w:ind w:firstLine="420" w:firstLineChars="200"/>
        <w:rPr>
          <w:rFonts w:ascii="宋体" w:hAnsi="宋体" w:cs="Arial"/>
          <w:szCs w:val="21"/>
        </w:rPr>
      </w:pPr>
      <w:r>
        <w:rPr>
          <w:rFonts w:hint="eastAsia" w:ascii="宋体" w:hAnsi="宋体" w:cs="Arial"/>
          <w:szCs w:val="21"/>
        </w:rPr>
        <w:t>5、售价：免工本费</w:t>
      </w:r>
    </w:p>
    <w:p>
      <w:pPr>
        <w:spacing w:line="360" w:lineRule="exact"/>
        <w:rPr>
          <w:rFonts w:ascii="宋体" w:hAnsi="宋体" w:cs="宋体"/>
          <w:b/>
          <w:sz w:val="24"/>
          <w:szCs w:val="24"/>
        </w:rPr>
      </w:pPr>
      <w:bookmarkStart w:id="13" w:name="_Toc28359005"/>
      <w:bookmarkStart w:id="14" w:name="_Toc28359082"/>
      <w:bookmarkStart w:id="15" w:name="_Toc35393793"/>
      <w:bookmarkStart w:id="16" w:name="_Toc35393624"/>
      <w:r>
        <w:rPr>
          <w:rFonts w:hint="eastAsia" w:ascii="宋体" w:hAnsi="宋体" w:cs="宋体"/>
          <w:b/>
          <w:sz w:val="24"/>
          <w:szCs w:val="24"/>
        </w:rPr>
        <w:t>四、提交投标文件</w:t>
      </w:r>
      <w:bookmarkEnd w:id="13"/>
      <w:bookmarkEnd w:id="14"/>
      <w:r>
        <w:rPr>
          <w:rFonts w:hint="eastAsia" w:ascii="宋体" w:hAnsi="宋体" w:cs="宋体"/>
          <w:b/>
          <w:sz w:val="24"/>
          <w:szCs w:val="24"/>
        </w:rPr>
        <w:t>截止时间、开标时间和</w:t>
      </w:r>
      <w:bookmarkEnd w:id="15"/>
      <w:bookmarkEnd w:id="16"/>
      <w:r>
        <w:rPr>
          <w:rFonts w:hint="eastAsia" w:ascii="宋体" w:hAnsi="宋体" w:cs="宋体"/>
          <w:b/>
          <w:sz w:val="24"/>
          <w:szCs w:val="24"/>
        </w:rPr>
        <w:t>方式</w:t>
      </w:r>
    </w:p>
    <w:p>
      <w:pPr>
        <w:snapToGrid w:val="0"/>
        <w:spacing w:line="360" w:lineRule="exact"/>
        <w:ind w:firstLine="420" w:firstLineChars="200"/>
        <w:rPr>
          <w:rFonts w:ascii="宋体" w:hAnsi="宋体" w:cs="Arial"/>
          <w:szCs w:val="21"/>
        </w:rPr>
      </w:pPr>
      <w:r>
        <w:rPr>
          <w:rFonts w:hint="eastAsia" w:ascii="宋体" w:hAnsi="宋体" w:cs="Arial"/>
          <w:szCs w:val="21"/>
        </w:rPr>
        <w:t xml:space="preserve">截止（开标）时间： </w:t>
      </w:r>
      <w:r>
        <w:rPr>
          <w:rFonts w:hint="eastAsia" w:ascii="宋体" w:hAnsi="宋体" w:cs="Arial"/>
          <w:szCs w:val="21"/>
          <w:highlight w:val="yellow"/>
        </w:rPr>
        <w:t>2021年 月 日上午9:00时整</w:t>
      </w:r>
      <w:r>
        <w:rPr>
          <w:rFonts w:hint="eastAsia" w:ascii="宋体" w:hAnsi="宋体" w:cs="Arial"/>
          <w:szCs w:val="21"/>
        </w:rPr>
        <w:t>（北京时间）</w:t>
      </w:r>
    </w:p>
    <w:p>
      <w:pPr>
        <w:snapToGrid w:val="0"/>
        <w:spacing w:line="360" w:lineRule="exact"/>
        <w:ind w:firstLine="420" w:firstLineChars="200"/>
        <w:rPr>
          <w:rFonts w:ascii="宋体" w:hAnsi="宋体" w:cs="Arial"/>
          <w:szCs w:val="21"/>
        </w:rPr>
      </w:pPr>
      <w:r>
        <w:rPr>
          <w:rFonts w:hint="eastAsia" w:ascii="宋体" w:hAnsi="宋体" w:cs="Arial"/>
          <w:szCs w:val="21"/>
        </w:rPr>
        <w:t>开标地点：政采云平台电子交易系统</w:t>
      </w:r>
    </w:p>
    <w:p>
      <w:pPr>
        <w:snapToGrid w:val="0"/>
        <w:spacing w:line="360" w:lineRule="exact"/>
        <w:ind w:firstLine="420" w:firstLineChars="200"/>
        <w:rPr>
          <w:rFonts w:ascii="宋体" w:hAnsi="宋体" w:cs="Arial"/>
          <w:szCs w:val="21"/>
        </w:rPr>
      </w:pPr>
      <w:r>
        <w:rPr>
          <w:rFonts w:hint="eastAsia" w:ascii="宋体" w:hAnsi="宋体" w:cs="Arial"/>
          <w:szCs w:val="21"/>
        </w:rPr>
        <w:t>开标方式：政采云平台提交电子投标文件</w:t>
      </w:r>
    </w:p>
    <w:p>
      <w:pPr>
        <w:spacing w:line="360" w:lineRule="exact"/>
        <w:rPr>
          <w:rFonts w:ascii="宋体" w:hAnsi="宋体" w:cs="宋体"/>
          <w:b/>
          <w:sz w:val="24"/>
          <w:szCs w:val="24"/>
        </w:rPr>
      </w:pPr>
      <w:bookmarkStart w:id="17" w:name="_Toc35393794"/>
      <w:bookmarkStart w:id="18" w:name="_Toc28359007"/>
      <w:bookmarkStart w:id="19" w:name="_Toc28359084"/>
      <w:bookmarkStart w:id="20" w:name="_Toc35393625"/>
      <w:r>
        <w:rPr>
          <w:rFonts w:hint="eastAsia" w:ascii="宋体" w:hAnsi="宋体" w:cs="宋体"/>
          <w:b/>
          <w:sz w:val="24"/>
          <w:szCs w:val="24"/>
        </w:rPr>
        <w:t>五、公告期限</w:t>
      </w:r>
      <w:bookmarkEnd w:id="17"/>
      <w:bookmarkEnd w:id="18"/>
      <w:bookmarkEnd w:id="19"/>
      <w:bookmarkEnd w:id="20"/>
    </w:p>
    <w:p>
      <w:pPr>
        <w:snapToGrid w:val="0"/>
        <w:spacing w:line="360" w:lineRule="exact"/>
        <w:ind w:firstLine="420" w:firstLineChars="200"/>
        <w:rPr>
          <w:rFonts w:ascii="宋体" w:hAnsi="宋体" w:cs="Arial"/>
          <w:szCs w:val="21"/>
        </w:rPr>
      </w:pPr>
      <w:r>
        <w:rPr>
          <w:rFonts w:hint="eastAsia" w:ascii="宋体" w:hAnsi="宋体" w:cs="Arial"/>
          <w:szCs w:val="21"/>
        </w:rPr>
        <w:t>自本公告发布之日起5个工作日（北京时间2021年  月  日至2021年  月  日止）。</w:t>
      </w:r>
    </w:p>
    <w:p>
      <w:pPr>
        <w:spacing w:line="360" w:lineRule="exact"/>
        <w:rPr>
          <w:rFonts w:ascii="宋体" w:hAnsi="宋体" w:cs="宋体"/>
          <w:b/>
          <w:sz w:val="24"/>
          <w:szCs w:val="24"/>
        </w:rPr>
      </w:pPr>
      <w:r>
        <w:rPr>
          <w:rFonts w:hint="eastAsia" w:ascii="宋体" w:hAnsi="宋体" w:cs="宋体"/>
          <w:b/>
          <w:sz w:val="24"/>
          <w:szCs w:val="24"/>
        </w:rPr>
        <w:t>六、投标答疑时间及方式</w:t>
      </w:r>
    </w:p>
    <w:p>
      <w:pPr>
        <w:spacing w:line="360" w:lineRule="exact"/>
        <w:ind w:firstLine="420" w:firstLineChars="200"/>
        <w:rPr>
          <w:rFonts w:ascii="宋体" w:hAnsi="宋体" w:cs="宋体"/>
          <w:szCs w:val="21"/>
        </w:rPr>
      </w:pPr>
      <w:r>
        <w:rPr>
          <w:rFonts w:hint="eastAsia" w:ascii="宋体" w:hAnsi="宋体" w:cs="宋体"/>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360" w:lineRule="exact"/>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2、质疑供应商对采购人、采购代理机构的答复不满意，或者采购人、采购代理机构未在规定时间内作出答复的，可以在答复期满后15个工作日内向同级财政部门提起投诉。</w:t>
      </w:r>
    </w:p>
    <w:p>
      <w:pPr>
        <w:spacing w:line="360" w:lineRule="exact"/>
        <w:ind w:firstLine="420" w:firstLineChars="200"/>
        <w:rPr>
          <w:rFonts w:ascii="宋体" w:hAnsi="宋体" w:cs="Arial"/>
          <w:szCs w:val="21"/>
        </w:rPr>
      </w:pPr>
      <w:r>
        <w:rPr>
          <w:rFonts w:hint="eastAsia" w:ascii="宋体" w:hAnsi="宋体" w:cs="宋体"/>
          <w:szCs w:val="21"/>
        </w:rPr>
        <w:t>3、投标答疑时间：</w:t>
      </w:r>
      <w:r>
        <w:rPr>
          <w:rFonts w:hint="eastAsia" w:ascii="宋体" w:hAnsi="宋体" w:cs="Arial"/>
          <w:szCs w:val="21"/>
        </w:rPr>
        <w:t>供应商对招标文件有异议的，应当在</w:t>
      </w:r>
      <w:r>
        <w:rPr>
          <w:rFonts w:hint="eastAsia" w:ascii="宋体" w:hAnsi="宋体" w:cs="Arial"/>
          <w:b/>
          <w:bCs/>
          <w:color w:val="FF0000"/>
          <w:szCs w:val="21"/>
        </w:rPr>
        <w:t>2021年  月 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cs="宋体"/>
          <w:szCs w:val="21"/>
        </w:rPr>
        <w:t>集中采购机构</w:t>
      </w:r>
      <w:r>
        <w:rPr>
          <w:rFonts w:hint="eastAsia" w:ascii="宋体" w:hAnsi="宋体" w:cs="Arial"/>
          <w:szCs w:val="21"/>
        </w:rPr>
        <w:t>将在规定的时间内统一进行澄清和修改，</w:t>
      </w:r>
      <w:r>
        <w:rPr>
          <w:rFonts w:hint="eastAsia" w:ascii="宋体" w:hAnsi="宋体" w:cs="宋体"/>
          <w:szCs w:val="21"/>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spacing w:line="360" w:lineRule="exact"/>
        <w:rPr>
          <w:rFonts w:ascii="宋体" w:hAnsi="宋体" w:cs="宋体"/>
          <w:b/>
          <w:sz w:val="24"/>
          <w:szCs w:val="24"/>
        </w:rPr>
      </w:pPr>
      <w:bookmarkStart w:id="21" w:name="_Toc35393795"/>
      <w:bookmarkStart w:id="22" w:name="_Toc35393626"/>
      <w:r>
        <w:rPr>
          <w:rFonts w:hint="eastAsia" w:ascii="宋体" w:hAnsi="宋体" w:cs="宋体"/>
          <w:b/>
          <w:sz w:val="24"/>
          <w:szCs w:val="24"/>
        </w:rPr>
        <w:t>七、其它补充事宜</w:t>
      </w:r>
      <w:bookmarkEnd w:id="21"/>
      <w:bookmarkEnd w:id="22"/>
    </w:p>
    <w:p>
      <w:pPr>
        <w:snapToGrid w:val="0"/>
        <w:spacing w:line="360" w:lineRule="exact"/>
        <w:ind w:firstLine="420" w:firstLineChars="200"/>
        <w:rPr>
          <w:rFonts w:ascii="宋体" w:hAnsi="宋体" w:cs="Arial"/>
          <w:szCs w:val="21"/>
        </w:rPr>
      </w:pPr>
      <w:r>
        <w:rPr>
          <w:rFonts w:hint="eastAsia" w:ascii="宋体" w:hAnsi="宋体" w:cs="Arial"/>
          <w:szCs w:val="21"/>
        </w:rPr>
        <w:t>1、本项目实行电子投标，应按照本项目招标文件和政采云平台的要求编制、加密并提交投标文件, 投标人的法定代表人或其授权代表或个体工商户不需要参加现场投标和开标。</w:t>
      </w:r>
    </w:p>
    <w:p>
      <w:pPr>
        <w:snapToGrid w:val="0"/>
        <w:spacing w:line="360" w:lineRule="exact"/>
        <w:ind w:firstLine="420" w:firstLineChars="200"/>
        <w:rPr>
          <w:rFonts w:ascii="宋体" w:hAnsi="宋体" w:cs="Arial"/>
          <w:szCs w:val="21"/>
        </w:rPr>
      </w:pPr>
      <w:r>
        <w:rPr>
          <w:rFonts w:hint="eastAsia" w:ascii="宋体" w:hAnsi="宋体" w:cs="Arial"/>
          <w:szCs w:val="21"/>
        </w:rPr>
        <w:t>供应商在使用系统进行投标的过程中遇到涉及平台使用的任何问题，可致电政采云平台技术支持热线咨询，联系方式：400-881-7190。</w:t>
      </w:r>
    </w:p>
    <w:p>
      <w:pPr>
        <w:snapToGrid w:val="0"/>
        <w:spacing w:line="360" w:lineRule="exact"/>
        <w:ind w:firstLine="420" w:firstLineChars="200"/>
        <w:rPr>
          <w:rFonts w:ascii="宋体" w:hAnsi="宋体" w:cs="Arial"/>
          <w:szCs w:val="21"/>
        </w:rPr>
      </w:pPr>
      <w:r>
        <w:rPr>
          <w:rFonts w:hint="eastAsia" w:ascii="宋体" w:hAnsi="宋体" w:cs="Arial"/>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办理流程详见：</w:t>
      </w:r>
    </w:p>
    <w:p>
      <w:pPr>
        <w:snapToGrid w:val="0"/>
        <w:spacing w:line="360" w:lineRule="exact"/>
        <w:ind w:left="420" w:leftChars="200"/>
        <w:rPr>
          <w:rStyle w:val="28"/>
          <w:rFonts w:ascii="宋体" w:hAnsi="宋体" w:cs="Arial" w:eastAsiaTheme="minorEastAsia"/>
          <w:szCs w:val="21"/>
        </w:rPr>
      </w:pPr>
      <w:r>
        <w:rPr>
          <w:rStyle w:val="28"/>
          <w:rFonts w:hint="eastAsia" w:ascii="宋体" w:hAnsi="宋体" w:cs="Arial" w:eastAsiaTheme="minorEastAsia"/>
          <w:szCs w:val="21"/>
        </w:rPr>
        <w:t>http://zfcg.czt.zj.gov.cn/bidClientTemplate/2019-05-27/12945.html）。</w:t>
      </w:r>
    </w:p>
    <w:p>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投标人通过“政采云”平台电子交易客户端制作投标文件，电子交易客户端请供应商自行前往浙江省政府采购网下载并安装。</w:t>
      </w:r>
    </w:p>
    <w:p>
      <w:pPr>
        <w:snapToGrid w:val="0"/>
        <w:spacing w:line="360" w:lineRule="exact"/>
        <w:ind w:left="420" w:leftChars="200"/>
        <w:rPr>
          <w:rFonts w:ascii="宋体" w:hAnsi="宋体" w:cs="Arial"/>
          <w:szCs w:val="21"/>
        </w:rPr>
      </w:pPr>
      <w:r>
        <w:rPr>
          <w:rFonts w:hint="eastAsia" w:ascii="宋体" w:hAnsi="宋体" w:cs="Arial"/>
          <w:szCs w:val="21"/>
        </w:rPr>
        <w:t>下载网址：</w:t>
      </w:r>
      <w:r>
        <w:fldChar w:fldCharType="begin"/>
      </w:r>
      <w:r>
        <w:instrText xml:space="preserve"> HYPERLINK "http://zfcg.czt.zj.gov.cn/bidClientTemplate/2019-09-24/12975.html），" </w:instrText>
      </w:r>
      <w:r>
        <w:fldChar w:fldCharType="separate"/>
      </w:r>
      <w:r>
        <w:rPr>
          <w:rStyle w:val="28"/>
          <w:rFonts w:hint="eastAsia" w:ascii="宋体" w:hAnsi="宋体" w:cs="Arial"/>
          <w:szCs w:val="21"/>
        </w:rPr>
        <w:t>http://zfcg.czt.zj.gov.cn/bidClientTemplate/2019-09-24/12975.html），</w:t>
      </w:r>
      <w:r>
        <w:rPr>
          <w:rStyle w:val="28"/>
          <w:rFonts w:hint="eastAsia" w:ascii="宋体" w:hAnsi="宋体" w:cs="Arial"/>
          <w:szCs w:val="21"/>
        </w:rPr>
        <w:fldChar w:fldCharType="end"/>
      </w:r>
    </w:p>
    <w:p>
      <w:pPr>
        <w:snapToGrid w:val="0"/>
        <w:spacing w:line="360" w:lineRule="exact"/>
        <w:rPr>
          <w:rFonts w:ascii="宋体" w:hAnsi="宋体" w:cs="Arial"/>
          <w:szCs w:val="21"/>
        </w:rPr>
      </w:pPr>
      <w:r>
        <w:rPr>
          <w:rFonts w:hint="eastAsia" w:ascii="宋体" w:hAnsi="宋体" w:cs="Arial"/>
          <w:szCs w:val="21"/>
        </w:rPr>
        <w:t>电子投标具体流程详见政采云平台帮助文档视频材料：“政府采购项目电子交易管理操作视频-供应商”。</w:t>
      </w:r>
    </w:p>
    <w:p>
      <w:pPr>
        <w:snapToGrid w:val="0"/>
        <w:spacing w:line="360" w:lineRule="exact"/>
        <w:ind w:firstLine="420" w:firstLineChars="200"/>
        <w:rPr>
          <w:rFonts w:ascii="宋体" w:hAnsi="宋体" w:cs="Arial"/>
          <w:szCs w:val="21"/>
        </w:rPr>
      </w:pPr>
      <w:r>
        <w:rPr>
          <w:rFonts w:hint="eastAsia" w:ascii="宋体" w:hAnsi="宋体" w:cs="Arial"/>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snapToGrid w:val="0"/>
        <w:spacing w:line="360" w:lineRule="exact"/>
        <w:ind w:firstLine="420" w:firstLineChars="200"/>
        <w:rPr>
          <w:rFonts w:ascii="宋体" w:hAnsi="宋体" w:cs="Arial"/>
          <w:szCs w:val="21"/>
        </w:rPr>
      </w:pPr>
      <w:r>
        <w:rPr>
          <w:rFonts w:hint="eastAsia" w:ascii="宋体" w:hAnsi="宋体" w:cs="Arial"/>
          <w:szCs w:val="21"/>
        </w:rPr>
        <w:t>投标人在“政府采购云平台”完成“电子加密投标文件”的上传递交后，还可以（邮箱发送形式）在投标截止时间前递交加密的“备份投标文件”。</w:t>
      </w:r>
    </w:p>
    <w:p>
      <w:pPr>
        <w:snapToGrid w:val="0"/>
        <w:spacing w:line="360" w:lineRule="exact"/>
        <w:ind w:firstLine="420" w:firstLineChars="200"/>
        <w:rPr>
          <w:rFonts w:ascii="宋体" w:hAnsi="宋体" w:cs="Arial"/>
          <w:szCs w:val="21"/>
        </w:rPr>
      </w:pPr>
      <w:r>
        <w:rPr>
          <w:rFonts w:hint="eastAsia" w:ascii="宋体" w:hAnsi="宋体" w:cs="Arial"/>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spacing w:line="360" w:lineRule="exact"/>
        <w:ind w:firstLine="422" w:firstLineChars="200"/>
        <w:rPr>
          <w:rFonts w:ascii="宋体" w:hAnsi="宋体" w:cs="宋体"/>
          <w:szCs w:val="21"/>
        </w:rPr>
      </w:pPr>
      <w:r>
        <w:rPr>
          <w:rFonts w:hint="eastAsia" w:ascii="宋体" w:hAnsi="宋体" w:cs="宋体"/>
          <w:b/>
          <w:bCs/>
          <w:color w:val="FF0000"/>
          <w:szCs w:val="21"/>
        </w:rPr>
        <w:t>重要提示：</w:t>
      </w:r>
      <w:r>
        <w:rPr>
          <w:rFonts w:hint="eastAsia" w:ascii="宋体" w:hAnsi="宋体" w:cs="宋体"/>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exact"/>
        <w:ind w:firstLine="420" w:firstLineChars="200"/>
        <w:rPr>
          <w:rFonts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spacing w:line="360" w:lineRule="exact"/>
        <w:ind w:firstLine="420" w:firstLineChars="200"/>
        <w:rPr>
          <w:rFonts w:ascii="宋体" w:hAnsi="宋体" w:cs="Arial"/>
          <w:szCs w:val="21"/>
        </w:rPr>
      </w:pPr>
      <w:r>
        <w:rPr>
          <w:rStyle w:val="28"/>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autoSpaceDE w:val="0"/>
        <w:autoSpaceDN w:val="0"/>
        <w:adjustRightInd w:val="0"/>
        <w:spacing w:line="360" w:lineRule="exact"/>
        <w:ind w:firstLine="424" w:firstLineChars="202"/>
        <w:rPr>
          <w:rFonts w:ascii="宋体" w:cs="Arial"/>
        </w:rPr>
      </w:pPr>
      <w:r>
        <w:rPr>
          <w:rFonts w:hint="eastAsia" w:ascii="宋体" w:hAnsi="宋体" w:cs="宋体"/>
          <w:szCs w:val="21"/>
        </w:rPr>
        <w:t>4、</w:t>
      </w:r>
      <w:r>
        <w:rPr>
          <w:rFonts w:hint="eastAsia" w:ascii="宋体" w:cs="Arial"/>
        </w:rPr>
        <w:t>本项目执行的政府采购政策：</w:t>
      </w:r>
      <w:r>
        <w:rPr>
          <w:rFonts w:hint="eastAsia"/>
        </w:rPr>
        <w:t>本项目专门面向中小企业采购；</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本采购项目中标单位与采购单位签订的政府采购合同适用于浙江省政府采购贷款政策，简称“政采贷”，具体内容可参阅《安吉财政“政采贷”办理指引》。</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网址：</w:t>
      </w:r>
      <w:r>
        <w:fldChar w:fldCharType="begin"/>
      </w:r>
      <w:r>
        <w:instrText xml:space="preserve"> HYPERLINK "https://mp.weixin.qq.com/s/FxzZ-CGhtaDj0aORl7XnqQ" </w:instrText>
      </w:r>
      <w:r>
        <w:fldChar w:fldCharType="separate"/>
      </w:r>
      <w:r>
        <w:rPr>
          <w:rStyle w:val="28"/>
          <w:rFonts w:hint="eastAsia" w:ascii="宋体" w:hAnsi="宋体" w:cs="宋体" w:eastAsiaTheme="minorEastAsia"/>
          <w:kern w:val="0"/>
          <w:szCs w:val="21"/>
        </w:rPr>
        <w:t>https://mp.weixin.qq.com/s/FxzZ-CGhtaDj0aORl7XnqQ</w:t>
      </w:r>
      <w:r>
        <w:rPr>
          <w:rStyle w:val="28"/>
          <w:rFonts w:hint="eastAsia" w:ascii="宋体" w:hAnsi="宋体" w:cs="宋体" w:eastAsiaTheme="minorEastAsia"/>
          <w:kern w:val="0"/>
          <w:szCs w:val="21"/>
        </w:rPr>
        <w:fldChar w:fldCharType="end"/>
      </w:r>
    </w:p>
    <w:p>
      <w:pPr>
        <w:spacing w:line="360" w:lineRule="exact"/>
        <w:rPr>
          <w:rFonts w:ascii="仿宋" w:hAnsi="仿宋" w:eastAsia="仿宋"/>
          <w:b/>
          <w:sz w:val="28"/>
          <w:szCs w:val="28"/>
        </w:rPr>
      </w:pPr>
      <w:bookmarkStart w:id="23" w:name="_Toc35393796"/>
      <w:bookmarkStart w:id="24" w:name="_Toc28359008"/>
      <w:bookmarkStart w:id="25" w:name="_Toc35393627"/>
      <w:bookmarkStart w:id="26" w:name="_Toc28359085"/>
      <w:r>
        <w:rPr>
          <w:rFonts w:hint="eastAsia" w:ascii="宋体" w:hAnsi="宋体" w:cs="宋体"/>
          <w:b/>
          <w:sz w:val="24"/>
          <w:szCs w:val="24"/>
        </w:rPr>
        <w:t>八、业务咨询联系方式</w:t>
      </w:r>
      <w:bookmarkEnd w:id="23"/>
      <w:bookmarkEnd w:id="24"/>
      <w:bookmarkEnd w:id="25"/>
      <w:bookmarkEnd w:id="26"/>
      <w:r>
        <w:rPr>
          <w:rFonts w:hint="eastAsia" w:ascii="宋体" w:hAnsi="宋体" w:cs="宋体"/>
          <w:b/>
          <w:sz w:val="24"/>
          <w:szCs w:val="24"/>
        </w:rPr>
        <w:t xml:space="preserve">    </w:t>
      </w:r>
      <w:r>
        <w:rPr>
          <w:rFonts w:hint="eastAsia" w:ascii="仿宋" w:hAnsi="仿宋" w:eastAsia="仿宋"/>
          <w:b/>
          <w:sz w:val="28"/>
          <w:szCs w:val="28"/>
        </w:rPr>
        <w:t xml:space="preserve">                               </w:t>
      </w:r>
    </w:p>
    <w:p>
      <w:pPr>
        <w:spacing w:line="360" w:lineRule="exact"/>
        <w:ind w:firstLine="420" w:firstLineChars="200"/>
        <w:rPr>
          <w:rFonts w:ascii="宋体" w:hAnsi="宋体" w:cs="Arial"/>
          <w:szCs w:val="21"/>
        </w:rPr>
      </w:pPr>
      <w:r>
        <w:rPr>
          <w:rFonts w:hint="eastAsia" w:ascii="宋体" w:hAnsi="宋体" w:cs="Arial"/>
          <w:szCs w:val="21"/>
        </w:rPr>
        <w:t>1、本次招标有关信息刊登在：</w:t>
      </w:r>
    </w:p>
    <w:p>
      <w:pPr>
        <w:spacing w:line="360" w:lineRule="exact"/>
        <w:ind w:firstLine="420" w:firstLineChars="200"/>
        <w:rPr>
          <w:rFonts w:ascii="宋体" w:hAnsi="宋体" w:cs="Arial"/>
          <w:szCs w:val="21"/>
        </w:rPr>
      </w:pPr>
      <w:r>
        <w:rPr>
          <w:rFonts w:hint="eastAsia" w:ascii="宋体" w:hAnsi="宋体" w:cs="Arial"/>
          <w:szCs w:val="21"/>
        </w:rPr>
        <w:t>“浙江政府采购网”(http：//www.zjzfcg.gov.cn／)</w:t>
      </w:r>
    </w:p>
    <w:p>
      <w:pPr>
        <w:spacing w:line="360" w:lineRule="exact"/>
        <w:ind w:firstLine="420" w:firstLineChars="200"/>
        <w:rPr>
          <w:rFonts w:ascii="宋体" w:hAnsi="宋体" w:cs="Arial"/>
          <w:szCs w:val="21"/>
        </w:rPr>
      </w:pPr>
      <w:r>
        <w:rPr>
          <w:rFonts w:hint="eastAsia" w:ascii="宋体" w:hAnsi="宋体" w:cs="Arial"/>
          <w:szCs w:val="21"/>
        </w:rPr>
        <w:t>“安吉县公共资源交易网”( http：//www.ajztb.com／)</w:t>
      </w:r>
    </w:p>
    <w:p>
      <w:pPr>
        <w:spacing w:line="360" w:lineRule="exact"/>
        <w:ind w:firstLine="420" w:firstLineChars="200"/>
        <w:rPr>
          <w:rFonts w:ascii="宋体" w:hAnsi="宋体" w:cs="Arial"/>
          <w:szCs w:val="21"/>
        </w:rPr>
      </w:pPr>
      <w:r>
        <w:rPr>
          <w:rFonts w:hint="eastAsia" w:ascii="宋体" w:hAnsi="宋体" w:cs="Arial"/>
          <w:szCs w:val="21"/>
        </w:rPr>
        <w:t>2、业务咨询：</w:t>
      </w:r>
    </w:p>
    <w:p>
      <w:pPr>
        <w:spacing w:line="360" w:lineRule="exact"/>
        <w:ind w:firstLine="420" w:firstLineChars="200"/>
        <w:rPr>
          <w:rFonts w:ascii="宋体" w:hAnsi="宋体" w:cs="Arial"/>
          <w:szCs w:val="21"/>
        </w:rPr>
      </w:pPr>
      <w:r>
        <w:rPr>
          <w:rFonts w:hint="eastAsia" w:ascii="宋体" w:hAnsi="宋体" w:cs="Arial"/>
          <w:szCs w:val="21"/>
        </w:rPr>
        <w:t>电子交易平台：政采云有限公司  咨询电话：400-881-7190</w:t>
      </w:r>
    </w:p>
    <w:p>
      <w:pPr>
        <w:spacing w:line="360" w:lineRule="exact"/>
        <w:ind w:firstLine="420" w:firstLineChars="200"/>
        <w:rPr>
          <w:rFonts w:ascii="宋体" w:hAnsi="宋体" w:cs="Arial"/>
          <w:szCs w:val="21"/>
        </w:rPr>
      </w:pPr>
      <w:r>
        <w:rPr>
          <w:rFonts w:hint="eastAsia" w:ascii="宋体" w:hAnsi="宋体" w:cs="Arial"/>
          <w:szCs w:val="21"/>
        </w:rPr>
        <w:t>3、采购单位: 安吉县住房和城乡建设局</w:t>
      </w:r>
    </w:p>
    <w:p>
      <w:pPr>
        <w:spacing w:line="360" w:lineRule="exact"/>
        <w:ind w:firstLine="420" w:firstLineChars="200"/>
        <w:rPr>
          <w:rFonts w:ascii="宋体" w:hAnsi="宋体" w:cs="Arial"/>
          <w:szCs w:val="21"/>
        </w:rPr>
      </w:pPr>
      <w:r>
        <w:rPr>
          <w:rFonts w:hint="eastAsia" w:ascii="宋体" w:hAnsi="宋体" w:cs="Arial"/>
          <w:szCs w:val="21"/>
        </w:rPr>
        <w:t xml:space="preserve">联系人：钟先生   </w:t>
      </w:r>
    </w:p>
    <w:p>
      <w:pPr>
        <w:spacing w:line="360" w:lineRule="exact"/>
        <w:ind w:firstLine="420" w:firstLineChars="200"/>
        <w:rPr>
          <w:rFonts w:ascii="宋体" w:hAnsi="宋体" w:cs="Arial"/>
          <w:szCs w:val="21"/>
        </w:rPr>
      </w:pPr>
      <w:r>
        <w:rPr>
          <w:rFonts w:hint="eastAsia" w:ascii="宋体" w:hAnsi="宋体" w:cs="Arial"/>
          <w:szCs w:val="21"/>
        </w:rPr>
        <w:t>联系电话：0572-5053013  地址：安吉县天荒坪中路与翠竹路交叉口</w:t>
      </w:r>
    </w:p>
    <w:p>
      <w:pPr>
        <w:spacing w:line="360" w:lineRule="exact"/>
        <w:ind w:firstLine="420" w:firstLineChars="200"/>
        <w:rPr>
          <w:rFonts w:ascii="宋体" w:hAnsi="宋体" w:cs="Arial"/>
          <w:szCs w:val="21"/>
        </w:rPr>
      </w:pPr>
      <w:r>
        <w:rPr>
          <w:rFonts w:hint="eastAsia" w:ascii="宋体" w:hAnsi="宋体" w:cs="Arial"/>
          <w:szCs w:val="21"/>
        </w:rPr>
        <w:t>4、集中采购机构：安吉县公共资源交易中心政府采购中心</w:t>
      </w:r>
    </w:p>
    <w:p>
      <w:pPr>
        <w:spacing w:line="360" w:lineRule="exact"/>
        <w:ind w:firstLine="420" w:firstLineChars="200"/>
        <w:rPr>
          <w:rFonts w:ascii="宋体" w:hAnsi="宋体" w:cs="Arial"/>
          <w:szCs w:val="21"/>
        </w:rPr>
      </w:pPr>
      <w:r>
        <w:rPr>
          <w:rFonts w:hint="eastAsia" w:ascii="宋体" w:hAnsi="宋体" w:cs="Arial"/>
          <w:szCs w:val="21"/>
        </w:rPr>
        <w:t xml:space="preserve">联系人（咨询）：任女士               联系人（质疑受理）：王女士  </w:t>
      </w:r>
    </w:p>
    <w:p>
      <w:pPr>
        <w:spacing w:line="360" w:lineRule="exact"/>
        <w:ind w:firstLine="420" w:firstLineChars="200"/>
        <w:rPr>
          <w:rFonts w:ascii="宋体" w:hAnsi="宋体" w:cs="Arial"/>
          <w:szCs w:val="21"/>
        </w:rPr>
      </w:pPr>
      <w:r>
        <w:rPr>
          <w:rFonts w:hint="eastAsia" w:ascii="宋体" w:hAnsi="宋体" w:cs="Arial"/>
          <w:szCs w:val="21"/>
        </w:rPr>
        <w:t>联系电话（咨询）：0572-5129121</w:t>
      </w:r>
      <w:r>
        <w:rPr>
          <w:rFonts w:hint="eastAsia" w:ascii="宋体" w:hAnsi="宋体" w:cs="Arial"/>
          <w:szCs w:val="21"/>
        </w:rPr>
        <w:tab/>
      </w:r>
      <w:r>
        <w:rPr>
          <w:rFonts w:hint="eastAsia" w:ascii="宋体" w:hAnsi="宋体" w:cs="Arial"/>
          <w:szCs w:val="21"/>
        </w:rPr>
        <w:t xml:space="preserve">    联系电话（质疑受理）：0572-5313082</w:t>
      </w:r>
    </w:p>
    <w:p>
      <w:pPr>
        <w:spacing w:line="360" w:lineRule="exact"/>
        <w:ind w:firstLine="420" w:firstLineChars="200"/>
        <w:rPr>
          <w:rFonts w:ascii="宋体" w:hAnsi="宋体" w:cs="Arial"/>
          <w:szCs w:val="21"/>
        </w:rPr>
      </w:pPr>
      <w:r>
        <w:rPr>
          <w:rFonts w:hint="eastAsia" w:ascii="宋体" w:hAnsi="宋体" w:cs="Arial"/>
          <w:szCs w:val="21"/>
        </w:rPr>
        <w:t>地址：安吉县天荒坪南路99号安吉商会大厦A座8楼</w:t>
      </w:r>
    </w:p>
    <w:p>
      <w:pPr>
        <w:spacing w:line="360" w:lineRule="exact"/>
        <w:ind w:firstLine="420" w:firstLineChars="200"/>
        <w:rPr>
          <w:rFonts w:ascii="宋体" w:hAnsi="宋体" w:cs="Arial"/>
          <w:szCs w:val="21"/>
        </w:rPr>
      </w:pPr>
      <w:r>
        <w:rPr>
          <w:rFonts w:hint="eastAsia" w:ascii="宋体" w:hAnsi="宋体" w:cs="Arial"/>
          <w:szCs w:val="21"/>
        </w:rPr>
        <w:t>5、政府采购行政监管及投诉受理部门：安吉县财政局</w:t>
      </w:r>
    </w:p>
    <w:p>
      <w:pPr>
        <w:spacing w:line="360" w:lineRule="exact"/>
        <w:ind w:firstLine="420" w:firstLineChars="200"/>
        <w:rPr>
          <w:rFonts w:ascii="宋体" w:hAnsi="宋体" w:cs="Arial"/>
          <w:szCs w:val="21"/>
        </w:rPr>
      </w:pPr>
      <w:r>
        <w:rPr>
          <w:rFonts w:hint="eastAsia" w:ascii="宋体" w:hAnsi="宋体" w:cs="Arial"/>
          <w:szCs w:val="21"/>
        </w:rPr>
        <w:t>联系人：陈先生 联系电话：0572-5302207</w:t>
      </w:r>
    </w:p>
    <w:p>
      <w:pPr>
        <w:pStyle w:val="9"/>
        <w:ind w:firstLine="210"/>
      </w:pPr>
      <w:r>
        <w:rPr>
          <w:rFonts w:hint="eastAsia"/>
        </w:rPr>
        <w:t xml:space="preserve">  地址：安吉县胜利东路308号</w:t>
      </w:r>
    </w:p>
    <w:p>
      <w:pPr>
        <w:spacing w:line="400" w:lineRule="exact"/>
        <w:ind w:firstLine="420" w:firstLineChars="200"/>
        <w:rPr>
          <w:rFonts w:ascii="宋体" w:hAnsi="宋体" w:cs="Arial"/>
          <w:szCs w:val="21"/>
        </w:rPr>
      </w:pPr>
    </w:p>
    <w:p>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 xml:space="preserve">安吉县公共资源交易中心政府采购中心    </w:t>
      </w:r>
    </w:p>
    <w:p>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 xml:space="preserve"> 2021年 月 日</w:t>
      </w:r>
    </w:p>
    <w:p>
      <w:pPr>
        <w:pStyle w:val="20"/>
        <w:spacing w:line="500" w:lineRule="exact"/>
      </w:pPr>
      <w:bookmarkStart w:id="27" w:name="_Toc452125554"/>
    </w:p>
    <w:p/>
    <w:p>
      <w:pPr>
        <w:pStyle w:val="20"/>
        <w:spacing w:line="500" w:lineRule="exact"/>
      </w:pPr>
      <w:r>
        <w:rPr>
          <w:rFonts w:hint="eastAsia"/>
        </w:rPr>
        <w:t>第二章  投标人须知</w:t>
      </w:r>
    </w:p>
    <w:p>
      <w:pPr>
        <w:rPr>
          <w:b/>
          <w:bCs/>
        </w:rPr>
      </w:pPr>
    </w:p>
    <w:tbl>
      <w:tblPr>
        <w:tblStyle w:val="22"/>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0"/>
        <w:gridCol w:w="1487"/>
        <w:gridCol w:w="70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安吉县农村生活污水处理设施运维服务政府采购项目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AJGK2021-008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采购资金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预算内资金2500万元；最高限价2500万元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样品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本项目</w:t>
            </w:r>
            <w:r>
              <w:rPr>
                <w:rFonts w:hint="eastAsia" w:ascii="宋体" w:hAnsi="宋体" w:cs="宋体"/>
                <w:sz w:val="18"/>
                <w:szCs w:val="18"/>
                <w:lang w:eastAsia="zh-CN"/>
              </w:rPr>
              <w:t>无需提供样品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项目</w:t>
            </w:r>
            <w:r>
              <w:rPr>
                <w:rFonts w:hint="eastAsia" w:ascii="宋体" w:hAnsi="宋体" w:cs="宋体"/>
                <w:sz w:val="18"/>
                <w:szCs w:val="18"/>
                <w:lang w:eastAsia="zh-CN"/>
              </w:rPr>
              <w:t>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合同签订后：一年内一年，以签订合同之日起计算。</w:t>
            </w:r>
          </w:p>
          <w:p>
            <w:pPr>
              <w:snapToGrid w:val="0"/>
              <w:spacing w:line="300" w:lineRule="exact"/>
              <w:rPr>
                <w:rFonts w:ascii="宋体" w:hAnsi="宋体" w:cs="宋体"/>
                <w:sz w:val="18"/>
                <w:szCs w:val="18"/>
              </w:rPr>
            </w:pPr>
            <w:r>
              <w:rPr>
                <w:rFonts w:hint="eastAsia" w:ascii="宋体" w:hAnsi="宋体" w:cs="宋体"/>
                <w:sz w:val="18"/>
                <w:szCs w:val="18"/>
              </w:rPr>
              <w:t>经采购人考核合格后可续签，最多可续签4次，最后一次续签截止时间为2025年10月31日。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投标文件均由资质文件、技术商务文件、报价文件组成。投标人提供备份投标文件（正本）的，数量为1份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"mailto:“备份投标文件”发送至ajzfcg@163.com"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28"/>
                <w:rFonts w:hint="eastAsia" w:ascii="宋体" w:hAnsi="宋体" w:cs="宋体"/>
                <w:kern w:val="0"/>
                <w:sz w:val="18"/>
                <w:szCs w:val="18"/>
              </w:rPr>
              <w:t>https://middle.zcygov.cn/v-settle-front/registry</w:t>
            </w:r>
            <w:r>
              <w:rPr>
                <w:rStyle w:val="28"/>
                <w:rFonts w:hint="eastAsia" w:ascii="宋体" w:hAnsi="宋体" w:cs="宋体"/>
                <w:kern w:val="0"/>
                <w:sz w:val="18"/>
                <w:szCs w:val="18"/>
              </w:rPr>
              <w:fldChar w:fldCharType="end"/>
            </w:r>
            <w:r>
              <w:rPr>
                <w:rStyle w:val="28"/>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28"/>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8"/>
                <w:rFonts w:hint="eastAsia" w:ascii="宋体" w:hAnsi="宋体" w:cs="宋体"/>
                <w:kern w:val="0"/>
                <w:sz w:val="18"/>
                <w:szCs w:val="18"/>
              </w:rPr>
              <w:t>http://zfcg.czt.zj.gov.cn/bidClientTemplate/2019-09-24/12975.html</w:t>
            </w:r>
            <w:r>
              <w:rPr>
                <w:rStyle w:val="28"/>
                <w:rFonts w:hint="eastAsia" w:ascii="宋体" w:hAnsi="宋体" w:cs="宋体"/>
                <w:kern w:val="0"/>
                <w:sz w:val="18"/>
                <w:szCs w:val="18"/>
              </w:rPr>
              <w:fldChar w:fldCharType="end"/>
            </w:r>
            <w:r>
              <w:rPr>
                <w:rStyle w:val="28"/>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28"/>
                <w:rFonts w:hint="eastAsia" w:ascii="宋体" w:hAnsi="宋体" w:cs="宋体"/>
                <w:kern w:val="0"/>
                <w:sz w:val="18"/>
                <w:szCs w:val="18"/>
              </w:rPr>
              <w:t>https://edu.zcygov.cn/luban/e-biding</w:t>
            </w:r>
            <w:r>
              <w:rPr>
                <w:rStyle w:val="28"/>
                <w:rFonts w:hint="eastAsia" w:ascii="宋体" w:hAnsi="宋体" w:cs="宋体"/>
                <w:kern w:val="0"/>
                <w:sz w:val="18"/>
                <w:szCs w:val="18"/>
              </w:rPr>
              <w:fldChar w:fldCharType="end"/>
            </w:r>
            <w:r>
              <w:rPr>
                <w:rStyle w:val="28"/>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ascii="宋体" w:hAnsi="宋体" w:cs="宋体"/>
                <w:sz w:val="18"/>
                <w:szCs w:val="18"/>
              </w:rPr>
            </w:pPr>
            <w:r>
              <w:rPr>
                <w:rFonts w:hint="eastAsia" w:ascii="宋体" w:hAnsi="宋体" w:cs="宋体"/>
                <w:sz w:val="18"/>
                <w:szCs w:val="18"/>
              </w:rPr>
              <w:t>资格审查资料工商营业执照（扫描件加盖公章）；</w:t>
            </w:r>
          </w:p>
          <w:p>
            <w:pPr>
              <w:numPr>
                <w:ilvl w:val="0"/>
                <w:numId w:val="4"/>
              </w:numPr>
              <w:snapToGrid w:val="0"/>
              <w:spacing w:line="300" w:lineRule="exact"/>
              <w:rPr>
                <w:rFonts w:ascii="宋体" w:hAnsi="宋体" w:cs="宋体"/>
                <w:sz w:val="18"/>
                <w:szCs w:val="18"/>
              </w:rPr>
            </w:pPr>
            <w:r>
              <w:rPr>
                <w:rFonts w:hint="eastAsia" w:ascii="宋体" w:hAnsi="宋体" w:cs="宋体"/>
                <w:sz w:val="18"/>
                <w:szCs w:val="18"/>
              </w:rPr>
              <w:t>法定代表人授权委托书（扫描件加盖公章）；</w:t>
            </w:r>
          </w:p>
          <w:p>
            <w:pPr>
              <w:snapToGrid w:val="0"/>
              <w:spacing w:line="300" w:lineRule="exact"/>
              <w:rPr>
                <w:rFonts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p>
            <w:pPr>
              <w:snapToGrid w:val="0"/>
              <w:spacing w:line="300" w:lineRule="exact"/>
              <w:rPr>
                <w:rFonts w:ascii="宋体" w:hAnsi="宋体" w:cs="宋体"/>
                <w:sz w:val="18"/>
                <w:szCs w:val="18"/>
              </w:rPr>
            </w:pPr>
            <w:r>
              <w:rPr>
                <w:rFonts w:hint="eastAsia" w:ascii="宋体" w:hAnsi="宋体" w:cs="宋体"/>
                <w:sz w:val="18"/>
                <w:szCs w:val="18"/>
              </w:rPr>
              <w:t>5、本项目只面向中小微企业采购，须提供中小微企业声明函。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应当在2021年  月 日下午16：30时</w:t>
            </w:r>
            <w:r>
              <w:rPr>
                <w:rFonts w:hint="eastAsia" w:ascii="宋体" w:hAnsi="宋体" w:cs="宋体"/>
                <w:sz w:val="18"/>
                <w:szCs w:val="18"/>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开标时间：2021年 月 日上午9:00时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2021年 月 日上午9:00时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sz w:val="18"/>
                <w:szCs w:val="18"/>
              </w:rPr>
            </w:pPr>
            <w:r>
              <w:rPr>
                <w:rFonts w:hint="eastAsia" w:ascii="宋体" w:hAnsi="宋体" w:cs="宋体"/>
                <w:b/>
                <w:sz w:val="18"/>
                <w:szCs w:val="18"/>
              </w:rPr>
              <w:t>根据《政府采购促进中小企业发展管理办法》财库〔2021〕46号文件的规定，本项目</w:t>
            </w:r>
            <w:r>
              <w:rPr>
                <w:rFonts w:hint="eastAsia" w:ascii="宋体" w:hAnsi="宋体" w:cs="宋体"/>
                <w:b/>
                <w:sz w:val="18"/>
                <w:szCs w:val="18"/>
                <w:u w:val="single"/>
              </w:rPr>
              <w:t>是/否</w:t>
            </w:r>
            <w:r>
              <w:rPr>
                <w:rFonts w:hint="eastAsia" w:ascii="宋体" w:hAnsi="宋体" w:cs="宋体"/>
                <w:b/>
                <w:sz w:val="18"/>
                <w:szCs w:val="18"/>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1"/>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1"/>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ascii="宋体" w:hAnsi="宋体" w:eastAsia="宋体" w:cs="宋体"/>
                <w:b/>
                <w:color w:val="FF0000"/>
                <w:sz w:val="18"/>
                <w:szCs w:val="18"/>
              </w:rPr>
              <w:t>其他未列明行业</w:t>
            </w:r>
            <w:r>
              <w:rPr>
                <w:rFonts w:hint="eastAsia" w:ascii="宋体" w:hAnsi="宋体" w:eastAsia="宋体" w:cs="宋体"/>
                <w:b/>
                <w:sz w:val="18"/>
                <w:szCs w:val="18"/>
              </w:rPr>
              <w:t>（具体根据《中小企业划型标准规定》执行）</w:t>
            </w:r>
          </w:p>
          <w:p>
            <w:pPr>
              <w:pStyle w:val="31"/>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1"/>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sz w:val="18"/>
                <w:szCs w:val="18"/>
              </w:rPr>
              <w:t>本项目为服务类项目，未涉及节能环保政策。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lang w:eastAsia="zh-CN"/>
              </w:rPr>
              <w:t>履约</w:t>
            </w: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color w:val="FF0000"/>
                <w:sz w:val="18"/>
                <w:szCs w:val="18"/>
              </w:rPr>
              <w:t>中标供应商须缴纳人民币100000.00元,在第一笔运维服务费用中扣除作为保证金</w:t>
            </w:r>
            <w:r>
              <w:rPr>
                <w:rFonts w:hint="eastAsia" w:ascii="宋体" w:hAnsi="宋体" w:cs="宋体"/>
                <w:sz w:val="18"/>
                <w:szCs w:val="18"/>
              </w:rPr>
              <w:t>；</w:t>
            </w:r>
          </w:p>
          <w:p>
            <w:pPr>
              <w:snapToGrid w:val="0"/>
              <w:spacing w:line="300" w:lineRule="exact"/>
              <w:rPr>
                <w:rFonts w:ascii="宋体" w:hAnsi="宋体" w:cs="宋体"/>
                <w:sz w:val="18"/>
                <w:szCs w:val="18"/>
              </w:rPr>
            </w:pPr>
            <w:r>
              <w:rPr>
                <w:rFonts w:hint="eastAsia" w:ascii="宋体" w:hAnsi="宋体" w:cs="宋体"/>
                <w:color w:val="FF0000"/>
                <w:sz w:val="18"/>
                <w:szCs w:val="18"/>
              </w:rPr>
              <w:t>中标供应商当月考评在良好以下，按本招标文件“ 服务质量考评办法和处理措施”约定，在保证金中予以罚款扣除，并在下一次运维资金拨付时予以扣回。如合同实施期内中标供应商未按照要求履行合同则保证金不予返还。在合同实施期内如因中标供应商原因造成采购人财产损失的，采购人有权在保证金中扣除；</w:t>
            </w:r>
          </w:p>
          <w:p>
            <w:pPr>
              <w:snapToGrid w:val="0"/>
              <w:spacing w:line="300" w:lineRule="exact"/>
              <w:rPr>
                <w:rFonts w:ascii="宋体" w:hAnsi="宋体" w:cs="宋体"/>
                <w:sz w:val="18"/>
                <w:szCs w:val="18"/>
              </w:rPr>
            </w:pPr>
            <w:r>
              <w:rPr>
                <w:rFonts w:hint="eastAsia" w:ascii="宋体" w:hAnsi="宋体" w:cs="宋体"/>
                <w:color w:val="FF0000"/>
                <w:sz w:val="18"/>
                <w:szCs w:val="18"/>
              </w:rPr>
              <w:t>保证金的退还：到期未能续签的，在合同实施期满后10天内办好全部移交手续后予以退还（不计息）；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bookmarkEnd w:id="27"/>
    </w:tbl>
    <w:p>
      <w:pPr>
        <w:spacing w:line="300" w:lineRule="exact"/>
        <w:rPr>
          <w:rFonts w:ascii="宋体" w:hAnsi="宋体"/>
          <w:b/>
          <w:szCs w:val="21"/>
        </w:rPr>
      </w:pPr>
    </w:p>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3.“采购人”系指安吉县住房和城乡建设局。</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szCs w:val="21"/>
        </w:rPr>
      </w:pPr>
      <w:r>
        <w:rPr>
          <w:rFonts w:hint="eastAsia"/>
          <w:szCs w:val="21"/>
        </w:rPr>
        <w:t>6.“服务”系指招标文件规定投标人须承担的安装、调试、技术协助、校准、培训、技术指导以及其他类似的义务。</w:t>
      </w:r>
    </w:p>
    <w:p>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本项目不接受联合体投标。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ascii="宋体" w:hAnsi="宋体" w:cs="宋体"/>
          <w:szCs w:val="21"/>
        </w:rPr>
      </w:pPr>
      <w:r>
        <w:rPr>
          <w:rFonts w:hint="eastAsia" w:ascii="宋体" w:hAnsi="宋体" w:cs="宋体"/>
          <w:szCs w:val="21"/>
        </w:rPr>
        <w:t>2.本项目不可以分包</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firstLine="420" w:firstLineChars="200"/>
        <w:rPr>
          <w:rFonts w:ascii="宋体" w:hAnsi="宋体" w:cs="宋体"/>
          <w:color w:val="FF0000"/>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rPr>
        <w:t>2021</w:t>
      </w:r>
    </w:p>
    <w:p>
      <w:pPr>
        <w:spacing w:line="400" w:lineRule="exact"/>
        <w:ind w:firstLine="420" w:firstLineChars="200"/>
        <w:rPr>
          <w:rFonts w:ascii="宋体" w:hAnsi="宋体" w:cs="宋体"/>
          <w:kern w:val="1"/>
          <w:szCs w:val="21"/>
        </w:rPr>
      </w:pPr>
      <w:r>
        <w:rPr>
          <w:rFonts w:hint="eastAsia" w:ascii="宋体" w:hAnsi="宋体" w:cs="宋体"/>
          <w:color w:val="FF0000"/>
          <w:kern w:val="1"/>
          <w:szCs w:val="21"/>
        </w:rPr>
        <w:t>年 月 日下午16：30时前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-5129121，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11"/>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投标文件由资信及商务文件、技术文件、投标报价文件三部份组成。</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1.资信及商务文件</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资信文件：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（2）法定代表人身份证明书(格式见附件)；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（3）法定代表人授权委托书(格式见附件)；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（4）授权代表社保花名册或者社保缴费凭证；</w:t>
      </w:r>
    </w:p>
    <w:p>
      <w:pPr>
        <w:spacing w:line="400" w:lineRule="exact"/>
        <w:ind w:firstLine="420" w:firstLineChars="200"/>
        <w:rPr>
          <w:rFonts w:ascii="宋体" w:hAnsi="宋体" w:cs="宋体"/>
          <w:kern w:val="1"/>
          <w:szCs w:val="21"/>
        </w:rPr>
      </w:pPr>
      <w:r>
        <w:rPr>
          <w:rFonts w:hint="eastAsia" w:ascii="宋体" w:hAnsi="宋体" w:cs="宋体"/>
          <w:kern w:val="1"/>
          <w:szCs w:val="21"/>
        </w:rPr>
        <w:t>（5）最近一个季度依法缴纳税收和社保费的证明[税费凭证复印件，或者依法缴纳税费或依法免缴税费的证明（复印件加盖公章，格式自拟）]</w:t>
      </w:r>
    </w:p>
    <w:p>
      <w:pPr>
        <w:spacing w:line="400" w:lineRule="exact"/>
        <w:ind w:firstLine="420" w:firstLineChars="200"/>
        <w:rPr>
          <w:rFonts w:ascii="宋体" w:hAnsi="宋体" w:cs="宋体"/>
          <w:kern w:val="1"/>
          <w:szCs w:val="21"/>
        </w:rPr>
      </w:pPr>
      <w:r>
        <w:rPr>
          <w:rFonts w:hint="eastAsia" w:ascii="宋体" w:hAnsi="宋体" w:cs="宋体"/>
          <w:kern w:val="1"/>
          <w:szCs w:val="21"/>
        </w:rPr>
        <w:t>（6）营业执照副本复印件（扫描件）；</w:t>
      </w:r>
    </w:p>
    <w:p>
      <w:pPr>
        <w:spacing w:line="400" w:lineRule="exact"/>
        <w:ind w:firstLine="420" w:firstLineChars="200"/>
        <w:rPr>
          <w:rFonts w:ascii="宋体" w:hAnsi="宋体" w:cs="宋体"/>
          <w:kern w:val="1"/>
          <w:szCs w:val="21"/>
        </w:rPr>
      </w:pPr>
      <w:r>
        <w:rPr>
          <w:rFonts w:hint="eastAsia" w:ascii="宋体" w:hAnsi="宋体" w:cs="宋体"/>
          <w:kern w:val="1"/>
          <w:szCs w:val="21"/>
        </w:rPr>
        <w:t>（7）中小微企业声明函（扫描件）；</w:t>
      </w:r>
    </w:p>
    <w:p>
      <w:pPr>
        <w:spacing w:line="400" w:lineRule="exact"/>
        <w:ind w:firstLine="420" w:firstLineChars="200"/>
        <w:rPr>
          <w:rFonts w:ascii="宋体" w:hAnsi="宋体" w:cs="宋体"/>
          <w:kern w:val="1"/>
          <w:szCs w:val="21"/>
        </w:rPr>
      </w:pPr>
      <w:r>
        <w:rPr>
          <w:rFonts w:hint="eastAsia" w:ascii="宋体" w:hAnsi="宋体" w:cs="宋体"/>
          <w:kern w:val="1"/>
          <w:szCs w:val="21"/>
        </w:rPr>
        <w:t>（8）至本项目投标截止时间前，投标人未列入失信被执行人、重大税收违法案件当事人名单、政府采购严重违法失信行为记录名单（以“信用中国”网站www.creditchina.gov.cn、“中国政府采购网”www.ccgp.gov.cn查询结果为准）</w:t>
      </w:r>
    </w:p>
    <w:p>
      <w:pPr>
        <w:spacing w:line="400" w:lineRule="exact"/>
        <w:ind w:firstLine="422" w:firstLineChars="200"/>
        <w:rPr>
          <w:rFonts w:ascii="宋体" w:hAnsi="宋体"/>
          <w:b/>
          <w:szCs w:val="21"/>
        </w:rPr>
      </w:pPr>
      <w:r>
        <w:rPr>
          <w:rFonts w:hint="eastAsia" w:ascii="宋体" w:hAnsi="宋体"/>
          <w:b/>
          <w:szCs w:val="21"/>
        </w:rPr>
        <w:t xml:space="preserve">    商务文件：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（1）投标人情况介绍（主要产品、技术力量等）；</w:t>
      </w:r>
    </w:p>
    <w:p>
      <w:pPr>
        <w:spacing w:line="400" w:lineRule="exact"/>
        <w:ind w:firstLine="420" w:firstLineChars="200"/>
        <w:rPr>
          <w:rFonts w:ascii="宋体" w:hAnsi="宋体" w:cs="宋体"/>
          <w:kern w:val="1"/>
          <w:szCs w:val="21"/>
        </w:rPr>
      </w:pPr>
      <w:r>
        <w:rPr>
          <w:rFonts w:hint="eastAsia" w:ascii="宋体" w:hAnsi="宋体" w:cs="宋体"/>
          <w:kern w:val="1"/>
          <w:szCs w:val="21"/>
        </w:rPr>
        <w:t>（2）类似成功案例的业绩证明（投标人同类项目实施情况一览表、合同复印件等）（格式见附件）；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（3）投标人实验室建设及检测情况（若有）；</w:t>
      </w:r>
    </w:p>
    <w:p>
      <w:pPr>
        <w:spacing w:line="400" w:lineRule="exact"/>
        <w:ind w:firstLine="420" w:firstLineChars="200"/>
        <w:rPr>
          <w:rFonts w:ascii="宋体" w:hAnsi="宋体" w:cs="宋体"/>
          <w:kern w:val="1"/>
          <w:szCs w:val="21"/>
        </w:rPr>
      </w:pPr>
      <w:r>
        <w:rPr>
          <w:rFonts w:hint="eastAsia" w:ascii="宋体" w:hAnsi="宋体" w:cs="宋体"/>
          <w:kern w:val="1"/>
          <w:szCs w:val="21"/>
        </w:rPr>
        <w:t>（4）投标人现有科技能力及行业成绩；</w:t>
      </w:r>
    </w:p>
    <w:p>
      <w:pPr>
        <w:spacing w:line="400" w:lineRule="exact"/>
        <w:ind w:firstLine="420" w:firstLineChars="200"/>
        <w:rPr>
          <w:rFonts w:ascii="宋体" w:hAnsi="宋体" w:cs="宋体"/>
          <w:kern w:val="1"/>
          <w:szCs w:val="21"/>
        </w:rPr>
      </w:pPr>
      <w:r>
        <w:rPr>
          <w:rFonts w:hint="eastAsia" w:ascii="宋体" w:hAnsi="宋体" w:cs="宋体"/>
          <w:kern w:val="1"/>
          <w:szCs w:val="21"/>
        </w:rPr>
        <w:t>（5）体系认证情况；</w:t>
      </w:r>
    </w:p>
    <w:p>
      <w:pPr>
        <w:spacing w:line="400" w:lineRule="exact"/>
        <w:ind w:firstLine="420" w:firstLineChars="200"/>
        <w:rPr>
          <w:rFonts w:ascii="宋体" w:hAnsi="宋体" w:cs="宋体"/>
          <w:kern w:val="1"/>
          <w:szCs w:val="21"/>
        </w:rPr>
      </w:pPr>
      <w:r>
        <w:rPr>
          <w:rFonts w:hint="eastAsia" w:ascii="宋体" w:hAnsi="宋体" w:cs="宋体"/>
          <w:kern w:val="1"/>
          <w:szCs w:val="21"/>
        </w:rPr>
        <w:t>（6）商务响应表（格式见附件）；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（7）投标人荣誉情况；</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（8）投标人信情况用；</w:t>
      </w:r>
    </w:p>
    <w:p>
      <w:pPr>
        <w:spacing w:line="400" w:lineRule="exact"/>
        <w:ind w:firstLine="420" w:firstLineChars="200"/>
        <w:rPr>
          <w:rFonts w:ascii="宋体" w:hAnsi="宋体" w:cs="宋体"/>
          <w:kern w:val="1"/>
          <w:szCs w:val="21"/>
        </w:rPr>
      </w:pPr>
      <w:r>
        <w:rPr>
          <w:rFonts w:hint="eastAsia" w:ascii="宋体" w:hAnsi="宋体" w:cs="宋体"/>
          <w:kern w:val="1"/>
          <w:szCs w:val="21"/>
        </w:rPr>
        <w:t>（9）投标方认为需要的其他文件资料；</w:t>
      </w:r>
    </w:p>
    <w:p>
      <w:pPr>
        <w:spacing w:line="400" w:lineRule="exact"/>
        <w:ind w:firstLine="422" w:firstLineChars="200"/>
        <w:rPr>
          <w:rFonts w:ascii="宋体" w:hAnsi="宋体"/>
          <w:b/>
          <w:szCs w:val="21"/>
        </w:rPr>
      </w:pPr>
      <w:r>
        <w:rPr>
          <w:rFonts w:hint="eastAsia" w:ascii="宋体" w:hAnsi="宋体"/>
          <w:b/>
          <w:szCs w:val="21"/>
        </w:rPr>
        <w:t>2.技术文件：</w:t>
      </w:r>
    </w:p>
    <w:p>
      <w:pPr>
        <w:spacing w:line="400" w:lineRule="exact"/>
        <w:ind w:firstLine="420" w:firstLineChars="200"/>
        <w:rPr>
          <w:rFonts w:ascii="宋体" w:hAnsi="宋体" w:cs="宋体"/>
          <w:kern w:val="1"/>
          <w:szCs w:val="21"/>
        </w:rPr>
      </w:pPr>
      <w:r>
        <w:rPr>
          <w:rFonts w:hint="eastAsia" w:ascii="宋体" w:hAnsi="宋体" w:cs="宋体"/>
          <w:kern w:val="1"/>
          <w:szCs w:val="21"/>
        </w:rPr>
        <w:t>（1）本项目总体理解及现状问题分析；</w:t>
      </w:r>
    </w:p>
    <w:p>
      <w:pPr>
        <w:spacing w:line="400" w:lineRule="exact"/>
        <w:ind w:firstLine="420" w:firstLineChars="200"/>
        <w:rPr>
          <w:rFonts w:ascii="宋体" w:hAnsi="宋体" w:cs="宋体"/>
          <w:kern w:val="1"/>
          <w:szCs w:val="21"/>
        </w:rPr>
      </w:pPr>
      <w:r>
        <w:rPr>
          <w:rFonts w:hint="eastAsia" w:ascii="宋体" w:hAnsi="宋体" w:cs="宋体"/>
          <w:kern w:val="1"/>
          <w:szCs w:val="21"/>
        </w:rPr>
        <w:t>（2）本项目整体运维方案及应急管理预案；</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（3）投标人拥有主要装备和检测设施的情况及现状（若有）；</w:t>
      </w:r>
    </w:p>
    <w:p>
      <w:pPr>
        <w:spacing w:line="400" w:lineRule="exact"/>
        <w:ind w:firstLine="420" w:firstLineChars="200"/>
        <w:rPr>
          <w:rFonts w:ascii="宋体" w:hAnsi="宋体" w:cs="宋体"/>
          <w:kern w:val="1"/>
          <w:szCs w:val="21"/>
        </w:rPr>
      </w:pPr>
      <w:r>
        <w:rPr>
          <w:rFonts w:hint="eastAsia" w:ascii="宋体" w:hAnsi="宋体" w:cs="宋体"/>
          <w:kern w:val="1"/>
          <w:szCs w:val="21"/>
        </w:rPr>
        <w:t>（4）投标人投入本项目的人力资源情况；</w:t>
      </w:r>
    </w:p>
    <w:p>
      <w:pPr>
        <w:spacing w:line="400" w:lineRule="exact"/>
        <w:ind w:firstLine="420" w:firstLineChars="200"/>
        <w:rPr>
          <w:rFonts w:ascii="宋体" w:hAnsi="宋体" w:cs="宋体"/>
          <w:kern w:val="1"/>
          <w:szCs w:val="21"/>
        </w:rPr>
      </w:pPr>
      <w:r>
        <w:rPr>
          <w:rFonts w:hint="eastAsia" w:ascii="宋体" w:hAnsi="宋体" w:cs="宋体"/>
          <w:kern w:val="1"/>
          <w:szCs w:val="21"/>
        </w:rPr>
        <w:t>（5）设备配置清单(格式见附件)；（均不含报价）</w:t>
      </w:r>
    </w:p>
    <w:p>
      <w:pPr>
        <w:spacing w:line="400" w:lineRule="exact"/>
        <w:ind w:firstLine="420" w:firstLineChars="200"/>
        <w:rPr>
          <w:rFonts w:ascii="宋体" w:hAnsi="宋体" w:cs="宋体"/>
          <w:kern w:val="1"/>
          <w:szCs w:val="21"/>
        </w:rPr>
      </w:pPr>
      <w:r>
        <w:rPr>
          <w:rFonts w:hint="eastAsia" w:ascii="宋体" w:hAnsi="宋体" w:cs="宋体"/>
          <w:kern w:val="1"/>
          <w:szCs w:val="21"/>
        </w:rPr>
        <w:t>（7）技术响应表(格式见附件)；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（8）投标人保障本项目正常运行的相关措施及方案；</w:t>
      </w:r>
    </w:p>
    <w:p>
      <w:pPr>
        <w:spacing w:line="400" w:lineRule="exact"/>
        <w:ind w:firstLine="420" w:firstLineChars="200"/>
        <w:rPr>
          <w:rFonts w:ascii="宋体" w:hAnsi="宋体" w:cs="宋体"/>
          <w:kern w:val="1"/>
          <w:szCs w:val="21"/>
        </w:rPr>
      </w:pPr>
      <w:r>
        <w:rPr>
          <w:rFonts w:hint="eastAsia" w:ascii="宋体" w:hAnsi="宋体" w:cs="宋体"/>
          <w:kern w:val="1"/>
          <w:szCs w:val="21"/>
        </w:rPr>
        <w:t>（9）投标人对本项目设备运维过程中维修方案（若有）；</w:t>
      </w:r>
    </w:p>
    <w:p>
      <w:pPr>
        <w:spacing w:line="400" w:lineRule="exact"/>
        <w:ind w:firstLine="420" w:firstLineChars="200"/>
        <w:rPr>
          <w:rFonts w:ascii="宋体" w:hAnsi="宋体" w:cs="宋体"/>
          <w:kern w:val="1"/>
          <w:szCs w:val="21"/>
        </w:rPr>
      </w:pPr>
      <w:r>
        <w:rPr>
          <w:rFonts w:hint="eastAsia" w:ascii="宋体" w:hAnsi="宋体" w:cs="宋体"/>
          <w:kern w:val="1"/>
          <w:szCs w:val="21"/>
        </w:rPr>
        <w:t>（10）投标人需要说明的其他文件和说明（格式略）；</w:t>
      </w:r>
    </w:p>
    <w:p>
      <w:pPr>
        <w:spacing w:line="400" w:lineRule="exact"/>
        <w:ind w:firstLine="422" w:firstLineChars="200"/>
        <w:rPr>
          <w:rFonts w:ascii="宋体" w:hAnsi="宋体"/>
          <w:b/>
          <w:szCs w:val="21"/>
        </w:rPr>
      </w:pPr>
      <w:r>
        <w:rPr>
          <w:rFonts w:hint="eastAsia" w:ascii="宋体" w:hAnsi="宋体"/>
          <w:b/>
          <w:szCs w:val="21"/>
        </w:rPr>
        <w:t>3.报价文件：</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w:t>
      </w:r>
      <w:r>
        <w:rPr>
          <w:rFonts w:hint="eastAsia" w:ascii="宋体" w:hAnsi="宋体"/>
          <w:szCs w:val="21"/>
        </w:rPr>
        <w:t>投标方认为需要的其他文件资料；</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numPr>
          <w:ilvl w:val="0"/>
          <w:numId w:val="5"/>
        </w:numPr>
        <w:spacing w:line="400" w:lineRule="exact"/>
        <w:ind w:firstLine="422" w:firstLineChars="200"/>
        <w:rPr>
          <w:rFonts w:ascii="宋体" w:hAnsi="宋体"/>
          <w:b/>
          <w:szCs w:val="21"/>
        </w:rPr>
      </w:pPr>
      <w:r>
        <w:rPr>
          <w:rFonts w:hint="eastAsia" w:ascii="宋体" w:hAnsi="宋体"/>
          <w:b/>
          <w:szCs w:val="21"/>
        </w:rPr>
        <w:t>投标文件的语言及计量</w:t>
      </w:r>
    </w:p>
    <w:p>
      <w:pPr>
        <w:pStyle w:val="11"/>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11"/>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11"/>
        <w:snapToGrid w:val="0"/>
        <w:spacing w:beforeLines="0" w:afterLines="0"/>
        <w:ind w:firstLine="420" w:firstLineChars="200"/>
        <w:rPr>
          <w:rFonts w:hAnsi="宋体"/>
          <w:sz w:val="21"/>
          <w:szCs w:val="21"/>
        </w:rPr>
      </w:pPr>
      <w:r>
        <w:rPr>
          <w:rFonts w:hint="eastAsia" w:hAnsi="宋体"/>
          <w:sz w:val="21"/>
          <w:szCs w:val="21"/>
        </w:rPr>
        <w:t>（三）投标报价</w:t>
      </w:r>
    </w:p>
    <w:p>
      <w:pPr>
        <w:pStyle w:val="11"/>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pStyle w:val="11"/>
        <w:snapToGrid w:val="0"/>
        <w:spacing w:beforeLines="0" w:afterLines="0"/>
        <w:ind w:firstLine="420" w:firstLineChars="200"/>
        <w:rPr>
          <w:rFonts w:hAnsi="宋体"/>
          <w:sz w:val="21"/>
          <w:szCs w:val="21"/>
        </w:rPr>
      </w:pPr>
      <w:r>
        <w:rPr>
          <w:rFonts w:hint="eastAsia" w:hAnsi="宋体"/>
          <w:sz w:val="21"/>
          <w:szCs w:val="21"/>
        </w:rPr>
        <w:t>▲2.投标报价是履行合同的最终价格，应包括货款、标准附件、备品备件、专用工具、包装、运输、装卸、保险、税金、货到就位以及安装、调试、培训、保修等一切税金和费用。</w:t>
      </w:r>
    </w:p>
    <w:p>
      <w:pPr>
        <w:pStyle w:val="11"/>
        <w:snapToGrid w:val="0"/>
        <w:spacing w:beforeLines="0" w:afterLines="0"/>
        <w:ind w:firstLine="420" w:firstLineChars="200"/>
        <w:rPr>
          <w:rFonts w:hAnsi="宋体"/>
          <w:sz w:val="21"/>
          <w:szCs w:val="21"/>
        </w:rPr>
      </w:pPr>
      <w:r>
        <w:rPr>
          <w:rFonts w:hint="eastAsia" w:hAnsi="宋体"/>
          <w:sz w:val="21"/>
          <w:szCs w:val="21"/>
        </w:rPr>
        <w:t>3.投标报价单位金额到元为止。</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（2）产品质量验收或测试不合格的；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5.投标人应按资信及商务文件、技术文件、投标报价文件三部分编制。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422" w:firstLineChars="200"/>
        <w:rPr>
          <w:rFonts w:ascii="宋体" w:hAnsi="宋体"/>
          <w:b/>
          <w:bCs/>
          <w:szCs w:val="21"/>
        </w:rPr>
      </w:pPr>
      <w:r>
        <w:rPr>
          <w:rFonts w:hint="eastAsia" w:ascii="宋体" w:hAnsi="宋体"/>
          <w:b/>
          <w:bCs/>
          <w:szCs w:val="21"/>
        </w:rPr>
        <w:t>实质上没有响应招标文件要求的投标将被视为无效投标。在开评标过程中，如发现下列情形之一的，投标文件将被视为无效：</w:t>
      </w:r>
    </w:p>
    <w:p>
      <w:pPr>
        <w:spacing w:line="400" w:lineRule="exact"/>
        <w:ind w:firstLine="420" w:firstLineChars="200"/>
        <w:rPr>
          <w:rFonts w:ascii="宋体" w:hAnsi="宋体"/>
          <w:szCs w:val="21"/>
        </w:rPr>
      </w:pPr>
      <w:r>
        <w:rPr>
          <w:rFonts w:hint="eastAsia" w:ascii="宋体" w:hAnsi="宋体"/>
          <w:szCs w:val="21"/>
        </w:rPr>
        <w:t>1、投标文件逾期上传或未按规定要求上传送达的</w:t>
      </w:r>
    </w:p>
    <w:p>
      <w:pPr>
        <w:spacing w:line="400" w:lineRule="exact"/>
        <w:ind w:firstLine="420" w:firstLineChars="200"/>
        <w:rPr>
          <w:rFonts w:ascii="宋体" w:hAnsi="宋体"/>
          <w:szCs w:val="21"/>
        </w:rPr>
      </w:pPr>
      <w:r>
        <w:rPr>
          <w:rFonts w:hint="eastAsia" w:ascii="宋体" w:hAnsi="宋体"/>
          <w:szCs w:val="21"/>
        </w:rPr>
        <w:t>2、未按照招标文件规定的要求装订、签署、盖章的；</w:t>
      </w:r>
    </w:p>
    <w:p>
      <w:pPr>
        <w:spacing w:line="400" w:lineRule="exact"/>
        <w:ind w:firstLine="420" w:firstLineChars="200"/>
        <w:rPr>
          <w:rFonts w:ascii="宋体" w:hAnsi="宋体"/>
          <w:szCs w:val="21"/>
        </w:rPr>
      </w:pPr>
      <w:r>
        <w:rPr>
          <w:rFonts w:hint="eastAsia" w:ascii="宋体" w:hAnsi="宋体"/>
          <w:szCs w:val="21"/>
        </w:rPr>
        <w:t>3、投标人未能提供合格的资格文件；</w:t>
      </w:r>
    </w:p>
    <w:p>
      <w:pPr>
        <w:spacing w:line="400" w:lineRule="exact"/>
        <w:ind w:firstLine="420" w:firstLineChars="200"/>
        <w:rPr>
          <w:rFonts w:ascii="宋体" w:hAnsi="宋体"/>
          <w:szCs w:val="21"/>
        </w:rPr>
      </w:pPr>
      <w:r>
        <w:rPr>
          <w:rFonts w:hint="eastAsia" w:ascii="宋体" w:hAnsi="宋体"/>
          <w:szCs w:val="21"/>
        </w:rPr>
        <w:t>4、不具备招标文件中规定的资格条件的；</w:t>
      </w:r>
    </w:p>
    <w:p>
      <w:pPr>
        <w:spacing w:line="400" w:lineRule="exact"/>
        <w:ind w:firstLine="420" w:firstLineChars="200"/>
        <w:rPr>
          <w:rFonts w:ascii="宋体" w:hAnsi="宋体"/>
          <w:szCs w:val="21"/>
        </w:rPr>
      </w:pPr>
      <w:r>
        <w:rPr>
          <w:rFonts w:hint="eastAsia" w:ascii="宋体" w:hAnsi="宋体"/>
          <w:szCs w:val="21"/>
        </w:rPr>
        <w:t>5、投标人提交两份或两份以上内容不同的投标文件，或在一份投标文件中对同一采购项目有两个或两个以上报价的；</w:t>
      </w:r>
    </w:p>
    <w:p>
      <w:pPr>
        <w:spacing w:line="400" w:lineRule="exact"/>
        <w:ind w:firstLine="420" w:firstLineChars="200"/>
        <w:rPr>
          <w:rFonts w:ascii="宋体" w:hAnsi="宋体"/>
          <w:szCs w:val="21"/>
        </w:rPr>
      </w:pPr>
      <w:r>
        <w:rPr>
          <w:rFonts w:hint="eastAsia" w:ascii="宋体" w:hAnsi="宋体"/>
          <w:szCs w:val="21"/>
        </w:rPr>
        <w:t>6、投标报价超出预算</w:t>
      </w:r>
      <w:r>
        <w:rPr>
          <w:rFonts w:hint="eastAsia" w:ascii="宋体" w:hAnsi="宋体"/>
          <w:szCs w:val="21"/>
          <w:lang w:eastAsia="zh-CN"/>
        </w:rPr>
        <w:t>或最高限价的</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3、投标文件载明的投标有效期、交货时间、质量保证期等商务条款不能满足招标文件规定要求的；</w:t>
      </w:r>
    </w:p>
    <w:p>
      <w:pPr>
        <w:spacing w:line="400" w:lineRule="exact"/>
        <w:ind w:firstLine="420" w:firstLineChars="200"/>
        <w:rPr>
          <w:rFonts w:ascii="宋体" w:hAnsi="宋体"/>
          <w:szCs w:val="21"/>
        </w:rPr>
      </w:pPr>
      <w:r>
        <w:rPr>
          <w:rFonts w:hint="eastAsia" w:ascii="宋体" w:hAnsi="宋体"/>
          <w:szCs w:val="21"/>
        </w:rPr>
        <w:t>7、投标文件未响应招标文件规定的付款方式的；</w:t>
      </w:r>
    </w:p>
    <w:p>
      <w:pPr>
        <w:spacing w:line="400" w:lineRule="exact"/>
        <w:ind w:firstLine="420" w:firstLineChars="200"/>
        <w:rPr>
          <w:rFonts w:ascii="宋体" w:hAnsi="宋体"/>
          <w:szCs w:val="21"/>
        </w:rPr>
      </w:pPr>
      <w:r>
        <w:rPr>
          <w:rFonts w:hint="eastAsia" w:ascii="宋体" w:hAnsi="宋体"/>
          <w:szCs w:val="21"/>
        </w:rPr>
        <w:t>8、投标文件字迹模糊辨认不清的（评标委员会一致认为难以确认）；</w:t>
      </w:r>
    </w:p>
    <w:p>
      <w:pPr>
        <w:spacing w:line="400" w:lineRule="exact"/>
        <w:ind w:firstLine="420" w:firstLineChars="200"/>
        <w:rPr>
          <w:rFonts w:ascii="宋体" w:hAnsi="宋体"/>
          <w:szCs w:val="21"/>
        </w:rPr>
      </w:pPr>
      <w:r>
        <w:rPr>
          <w:rFonts w:hint="eastAsia" w:ascii="宋体" w:hAnsi="宋体"/>
          <w:szCs w:val="21"/>
        </w:rPr>
        <w:t>9、提供不真实资料的；</w:t>
      </w:r>
    </w:p>
    <w:p>
      <w:pPr>
        <w:spacing w:line="400" w:lineRule="exact"/>
        <w:ind w:firstLine="420" w:firstLineChars="200"/>
        <w:rPr>
          <w:rFonts w:ascii="宋体" w:hAnsi="宋体"/>
          <w:szCs w:val="21"/>
        </w:rPr>
      </w:pPr>
      <w:r>
        <w:rPr>
          <w:rFonts w:hint="eastAsia" w:ascii="宋体" w:hAnsi="宋体"/>
          <w:szCs w:val="21"/>
        </w:rPr>
        <w:t>10、不符合法律、法规和招标文件规定的其他实质性要求（评标委员会一致认定）的；</w:t>
      </w:r>
    </w:p>
    <w:p>
      <w:pPr>
        <w:spacing w:line="400" w:lineRule="exact"/>
        <w:ind w:firstLine="420" w:firstLineChars="200"/>
        <w:rPr>
          <w:rFonts w:ascii="宋体" w:hAnsi="宋体"/>
          <w:szCs w:val="21"/>
        </w:rPr>
      </w:pPr>
      <w:r>
        <w:rPr>
          <w:rFonts w:hint="eastAsia" w:ascii="宋体" w:hAnsi="宋体"/>
          <w:szCs w:val="21"/>
        </w:rPr>
        <w:t>11、投标货物的技术指标、参数等与招标文件中标“▲”的技术指标、参数等发生实质性偏离（评标委员会一致认定）的；</w:t>
      </w:r>
    </w:p>
    <w:p>
      <w:pPr>
        <w:spacing w:line="400" w:lineRule="exact"/>
        <w:ind w:firstLine="420" w:firstLineChars="200"/>
        <w:rPr>
          <w:rFonts w:ascii="宋体" w:hAnsi="宋体"/>
          <w:szCs w:val="21"/>
        </w:rPr>
      </w:pPr>
      <w:r>
        <w:rPr>
          <w:rFonts w:hint="eastAsia" w:ascii="宋体" w:hAnsi="宋体"/>
          <w:szCs w:val="21"/>
        </w:rPr>
        <w:t>12、法律、法规、规章及省级以上国家机关等规定的其他情形。</w:t>
      </w:r>
    </w:p>
    <w:p>
      <w:pPr>
        <w:spacing w:line="400" w:lineRule="exact"/>
        <w:ind w:firstLine="420" w:firstLineChars="200"/>
        <w:rPr>
          <w:rFonts w:ascii="宋体" w:hAnsi="宋体"/>
          <w:szCs w:val="21"/>
        </w:rPr>
      </w:pPr>
      <w:r>
        <w:rPr>
          <w:rFonts w:hint="eastAsia" w:ascii="宋体" w:hAnsi="宋体"/>
          <w:szCs w:val="21"/>
        </w:rPr>
        <w:t>13、资信及商务文件和技术文件中出现投标价格信息的、不符合报价文件规定要求的；</w:t>
      </w:r>
    </w:p>
    <w:p>
      <w:pPr>
        <w:spacing w:line="400" w:lineRule="exact"/>
        <w:ind w:firstLine="420" w:firstLineChars="200"/>
        <w:rPr>
          <w:rFonts w:ascii="宋体" w:hAnsi="宋体"/>
          <w:szCs w:val="21"/>
        </w:rPr>
      </w:pPr>
      <w:r>
        <w:rPr>
          <w:rFonts w:hint="eastAsia" w:ascii="宋体" w:hAnsi="宋体"/>
          <w:szCs w:val="21"/>
        </w:rPr>
        <w:t>14、被拒绝或者无效的投标文件；</w:t>
      </w:r>
    </w:p>
    <w:p>
      <w:pPr>
        <w:spacing w:line="400" w:lineRule="exact"/>
        <w:ind w:firstLine="420" w:firstLineChars="200"/>
        <w:rPr>
          <w:rFonts w:ascii="宋体" w:hAnsi="宋体"/>
          <w:szCs w:val="21"/>
        </w:rPr>
      </w:pPr>
      <w:r>
        <w:rPr>
          <w:rFonts w:hint="eastAsia" w:ascii="宋体" w:hAnsi="宋体"/>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ascii="宋体" w:hAnsi="宋体"/>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b/>
          <w:bCs/>
          <w:color w:val="FF0000"/>
        </w:rPr>
        <w:t>投标人无需前往开评标现场</w:t>
      </w:r>
      <w:r>
        <w:rPr>
          <w:rFonts w:hint="eastAsia" w:ascii="宋体" w:hAnsi="宋体"/>
        </w:rPr>
        <w:t>，只需在规定时间内在“政采云”平台上上传电子投标文件。</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开标时间后30分钟内（2021年 月 日上午09:00前）供应商可以登录“政采云”平台，用“项目采购-开标评标”功能进行解密投标文件。若供应商在规定时间内（2021年 月 日上午09:00前）无法解密或解密失败，将导致投标无效或失败。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11"/>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11"/>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11"/>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11"/>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11"/>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11"/>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11"/>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1"/>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11"/>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1"/>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1"/>
        <w:snapToGrid w:val="0"/>
        <w:spacing w:beforeLines="0" w:afterLines="0"/>
        <w:ind w:firstLine="422" w:firstLineChars="200"/>
        <w:rPr>
          <w:rFonts w:hAnsi="宋体"/>
          <w:b/>
          <w:sz w:val="21"/>
          <w:szCs w:val="21"/>
        </w:rPr>
      </w:pPr>
      <w:r>
        <w:rPr>
          <w:rFonts w:hint="eastAsia" w:hAnsi="宋体"/>
          <w:b/>
          <w:sz w:val="21"/>
          <w:szCs w:val="21"/>
        </w:rPr>
        <w:t>六、定标</w:t>
      </w:r>
    </w:p>
    <w:p>
      <w:pPr>
        <w:pStyle w:val="11"/>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cs="宋体"/>
          <w:sz w:val="21"/>
          <w:szCs w:val="21"/>
          <w:u w:val="single"/>
        </w:rPr>
        <w:t>本项目由评标委员确定候选中标人。</w:t>
      </w:r>
    </w:p>
    <w:p>
      <w:pPr>
        <w:pStyle w:val="11"/>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11"/>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11"/>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pPr>
        <w:pStyle w:val="11"/>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11"/>
        <w:snapToGrid w:val="0"/>
        <w:spacing w:beforeLines="0" w:afterLines="0"/>
        <w:ind w:firstLine="420" w:firstLineChars="200"/>
        <w:rPr>
          <w:rFonts w:hAnsi="宋体" w:cs="宋体"/>
          <w:sz w:val="21"/>
          <w:szCs w:val="21"/>
        </w:rPr>
      </w:pPr>
      <w:r>
        <w:rPr>
          <w:rFonts w:hint="eastAsia" w:hAnsi="宋体" w:cs="宋体"/>
          <w:sz w:val="21"/>
          <w:szCs w:val="21"/>
        </w:rPr>
        <w:t>本项目无需</w:t>
      </w:r>
      <w:r>
        <w:rPr>
          <w:rFonts w:hint="eastAsia" w:hAnsi="宋体" w:cs="宋体"/>
          <w:color w:val="FF0000"/>
          <w:sz w:val="21"/>
          <w:szCs w:val="21"/>
        </w:rPr>
        <w:t>缴纳</w:t>
      </w:r>
      <w:r>
        <w:rPr>
          <w:rFonts w:hint="eastAsia" w:hAnsi="宋体" w:cs="宋体"/>
          <w:sz w:val="21"/>
          <w:szCs w:val="21"/>
        </w:rPr>
        <w:t>履约保证金</w:t>
      </w:r>
    </w:p>
    <w:p>
      <w:pPr>
        <w:pStyle w:val="11"/>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八、货款的结算</w:t>
      </w:r>
    </w:p>
    <w:p>
      <w:pPr>
        <w:spacing w:line="400" w:lineRule="exact"/>
        <w:ind w:firstLine="420" w:firstLineChars="200"/>
        <w:contextualSpacing/>
        <w:rPr>
          <w:rFonts w:ascii="宋体" w:hAnsi="宋体"/>
          <w:szCs w:val="21"/>
        </w:rPr>
      </w:pPr>
      <w:r>
        <w:rPr>
          <w:rFonts w:hint="eastAsia" w:ascii="宋体" w:hAnsi="宋体"/>
          <w:szCs w:val="21"/>
        </w:rPr>
        <w:t>1、运维费付款方式：先服务后付费，不支付预付款。采购人根据中标价和考核结果向中标人付费，第一次11月份进行，第二次次年6月份进行，</w:t>
      </w:r>
      <w:r>
        <w:rPr>
          <w:rFonts w:hint="eastAsia" w:ascii="宋体" w:hAnsi="宋体"/>
          <w:color w:val="FF0000"/>
          <w:szCs w:val="21"/>
        </w:rPr>
        <w:t>在第一笔运维费用支付时扣除10万元作为保证金。</w:t>
      </w:r>
      <w:r>
        <w:rPr>
          <w:rFonts w:hint="eastAsia" w:ascii="宋体" w:hAnsi="宋体"/>
          <w:szCs w:val="21"/>
        </w:rPr>
        <w:t>运维费用计算方法：中标全费用单价×移交运维的实际数量×实际运维服务时间（天数），结合考核结果计算。</w:t>
      </w:r>
    </w:p>
    <w:p>
      <w:pPr>
        <w:spacing w:line="400" w:lineRule="exact"/>
        <w:ind w:firstLine="420" w:firstLineChars="200"/>
        <w:contextualSpacing/>
        <w:rPr>
          <w:rFonts w:ascii="宋体" w:hAnsi="宋体"/>
          <w:szCs w:val="21"/>
        </w:rPr>
      </w:pPr>
      <w:r>
        <w:rPr>
          <w:rFonts w:hint="eastAsia" w:ascii="宋体" w:hAnsi="宋体"/>
          <w:szCs w:val="21"/>
        </w:rPr>
        <w:t>2、运维费发票中标人必须开具财税正式发票，否则不予支付。</w:t>
      </w:r>
    </w:p>
    <w:p>
      <w:pPr>
        <w:spacing w:line="400" w:lineRule="exact"/>
        <w:ind w:firstLine="420" w:firstLineChars="200"/>
        <w:contextualSpacing/>
        <w:rPr>
          <w:rFonts w:ascii="宋体" w:hAnsi="宋体"/>
          <w:szCs w:val="21"/>
        </w:rPr>
      </w:pPr>
      <w:r>
        <w:rPr>
          <w:rFonts w:hint="eastAsia" w:ascii="宋体" w:hAnsi="宋体"/>
          <w:szCs w:val="21"/>
        </w:rPr>
        <w:t>3、最后一次运维费用的款项须等所有设备、资料移交后支付。</w:t>
      </w:r>
    </w:p>
    <w:p>
      <w:pPr>
        <w:spacing w:line="400" w:lineRule="exact"/>
        <w:ind w:firstLine="422" w:firstLineChars="200"/>
        <w:contextualSpacing/>
        <w:rPr>
          <w:rFonts w:ascii="宋体" w:hAnsi="宋体"/>
          <w:szCs w:val="21"/>
        </w:rPr>
      </w:pPr>
      <w:r>
        <w:rPr>
          <w:rFonts w:hint="eastAsia" w:ascii="宋体" w:hAnsi="宋体"/>
          <w:b/>
          <w:szCs w:val="21"/>
        </w:rPr>
        <w:t>中标单位合同期满后须凭提供以下资料（请到安吉县公共资源交易网-下载中心-自行下载）：项目验收单、合同原件、发票复印件，</w:t>
      </w:r>
      <w:r>
        <w:rPr>
          <w:rFonts w:hint="eastAsia" w:ascii="宋体" w:hAnsi="宋体" w:cs="Arial"/>
          <w:b/>
          <w:color w:val="000000"/>
          <w:szCs w:val="21"/>
        </w:rPr>
        <w:t>到集中采购代理机构备案。</w:t>
      </w:r>
      <w:r>
        <w:rPr>
          <w:rFonts w:hint="eastAsia" w:ascii="宋体" w:hAnsi="宋体" w:cs="宋体"/>
          <w:b/>
          <w:color w:val="000000"/>
          <w:kern w:val="0"/>
          <w:szCs w:val="21"/>
        </w:rPr>
        <w:t xml:space="preserve"> </w:t>
      </w:r>
      <w:bookmarkStart w:id="29" w:name="_Toc452125555"/>
    </w:p>
    <w:p>
      <w:pPr>
        <w:pStyle w:val="20"/>
        <w:spacing w:line="480" w:lineRule="auto"/>
      </w:pPr>
    </w:p>
    <w:p>
      <w:pPr>
        <w:pStyle w:val="20"/>
        <w:spacing w:line="480" w:lineRule="auto"/>
      </w:pPr>
    </w:p>
    <w:p/>
    <w:p>
      <w:pPr>
        <w:pStyle w:val="2"/>
        <w:spacing w:before="120"/>
      </w:pPr>
    </w:p>
    <w:p>
      <w:pPr>
        <w:pStyle w:val="20"/>
        <w:spacing w:line="480" w:lineRule="auto"/>
      </w:pPr>
    </w:p>
    <w:p>
      <w:pPr>
        <w:pStyle w:val="20"/>
        <w:spacing w:line="480" w:lineRule="auto"/>
      </w:pPr>
      <w:r>
        <w:rPr>
          <w:rFonts w:hint="eastAsia"/>
        </w:rPr>
        <w:t>第三章  招标需求</w:t>
      </w:r>
      <w:bookmarkEnd w:id="29"/>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pPr>
        <w:spacing w:beforeLines="50" w:afterLines="50" w:line="440" w:lineRule="exact"/>
        <w:ind w:firstLine="422" w:firstLineChars="200"/>
        <w:jc w:val="left"/>
        <w:rPr>
          <w:rFonts w:ascii="宋体" w:hAnsi="宋体" w:cs="宋体"/>
          <w:b/>
          <w:szCs w:val="21"/>
        </w:rPr>
      </w:pPr>
      <w:bookmarkStart w:id="30" w:name="_Toc380480366"/>
      <w:r>
        <w:rPr>
          <w:rFonts w:hint="eastAsia" w:ascii="宋体" w:hAnsi="宋体" w:cs="宋体"/>
          <w:b/>
          <w:szCs w:val="21"/>
        </w:rPr>
        <w:t>一、项目概况</w:t>
      </w:r>
    </w:p>
    <w:p>
      <w:pPr>
        <w:pStyle w:val="11"/>
        <w:spacing w:before="120" w:after="120" w:line="40" w:lineRule="atLeast"/>
        <w:ind w:firstLine="420" w:firstLineChars="200"/>
        <w:outlineLvl w:val="0"/>
        <w:rPr>
          <w:rFonts w:hAnsi="宋体" w:cs="宋体"/>
          <w:sz w:val="21"/>
          <w:szCs w:val="21"/>
        </w:rPr>
      </w:pPr>
      <w:r>
        <w:rPr>
          <w:rFonts w:hint="eastAsia" w:hAnsi="宋体" w:cs="宋体"/>
          <w:sz w:val="21"/>
          <w:szCs w:val="21"/>
        </w:rPr>
        <w:t>安吉县农村生活污水处理设施运维服务项目数量及单项预算价（最高限价）如下：</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632"/>
        <w:gridCol w:w="3653"/>
        <w:gridCol w:w="141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Pr>
          <w:p>
            <w:pPr>
              <w:snapToGrid w:val="0"/>
              <w:spacing w:line="360" w:lineRule="atLeast"/>
              <w:jc w:val="center"/>
              <w:rPr>
                <w:rFonts w:ascii="宋体" w:hAnsi="宋体" w:cs="宋体"/>
                <w:szCs w:val="21"/>
              </w:rPr>
            </w:pPr>
            <w:r>
              <w:rPr>
                <w:rFonts w:hint="eastAsia" w:ascii="宋体" w:hAnsi="宋体" w:cs="宋体"/>
                <w:szCs w:val="21"/>
              </w:rPr>
              <w:t>序号</w:t>
            </w:r>
          </w:p>
        </w:tc>
        <w:tc>
          <w:tcPr>
            <w:tcW w:w="1632" w:type="dxa"/>
          </w:tcPr>
          <w:p>
            <w:pPr>
              <w:snapToGrid w:val="0"/>
              <w:spacing w:line="360" w:lineRule="atLeast"/>
              <w:jc w:val="center"/>
              <w:rPr>
                <w:rFonts w:ascii="宋体" w:hAnsi="宋体" w:cs="宋体"/>
                <w:szCs w:val="21"/>
              </w:rPr>
            </w:pPr>
            <w:r>
              <w:rPr>
                <w:rFonts w:hint="eastAsia" w:ascii="宋体" w:hAnsi="宋体" w:cs="宋体"/>
                <w:szCs w:val="21"/>
              </w:rPr>
              <w:t>项目内容</w:t>
            </w:r>
          </w:p>
        </w:tc>
        <w:tc>
          <w:tcPr>
            <w:tcW w:w="3653" w:type="dxa"/>
          </w:tcPr>
          <w:p>
            <w:pPr>
              <w:snapToGrid w:val="0"/>
              <w:spacing w:line="360" w:lineRule="atLeast"/>
              <w:jc w:val="center"/>
              <w:rPr>
                <w:rFonts w:ascii="宋体" w:hAnsi="宋体" w:cs="宋体"/>
                <w:szCs w:val="21"/>
              </w:rPr>
            </w:pPr>
            <w:r>
              <w:rPr>
                <w:rFonts w:hint="eastAsia" w:ascii="宋体" w:hAnsi="宋体" w:cs="宋体"/>
                <w:szCs w:val="21"/>
              </w:rPr>
              <w:t>具体内容</w:t>
            </w:r>
          </w:p>
        </w:tc>
        <w:tc>
          <w:tcPr>
            <w:tcW w:w="1412" w:type="dxa"/>
          </w:tcPr>
          <w:p>
            <w:pPr>
              <w:snapToGrid w:val="0"/>
              <w:spacing w:line="360" w:lineRule="atLeast"/>
              <w:rPr>
                <w:rFonts w:ascii="宋体" w:hAnsi="宋体" w:cs="宋体"/>
                <w:szCs w:val="21"/>
              </w:rPr>
            </w:pPr>
            <w:r>
              <w:rPr>
                <w:rFonts w:hint="eastAsia" w:ascii="宋体" w:hAnsi="宋体" w:cs="宋体"/>
                <w:szCs w:val="21"/>
              </w:rPr>
              <w:t>数量（以实际交付结算）</w:t>
            </w:r>
          </w:p>
        </w:tc>
        <w:tc>
          <w:tcPr>
            <w:tcW w:w="1849" w:type="dxa"/>
            <w:shd w:val="clear" w:color="auto" w:fill="auto"/>
          </w:tcPr>
          <w:p>
            <w:pPr>
              <w:widowControl/>
              <w:ind w:firstLine="210" w:firstLineChars="100"/>
              <w:jc w:val="left"/>
              <w:rPr>
                <w:rFonts w:ascii="宋体" w:hAnsi="宋体" w:cs="宋体"/>
                <w:szCs w:val="21"/>
              </w:rPr>
            </w:pPr>
            <w:r>
              <w:rPr>
                <w:rFonts w:hint="eastAsia" w:ascii="宋体" w:hAnsi="宋体" w:cs="宋体"/>
                <w:szCs w:val="21"/>
              </w:rPr>
              <w:t>预算价</w:t>
            </w:r>
          </w:p>
          <w:p>
            <w:pPr>
              <w:pStyle w:val="2"/>
              <w:spacing w:before="120"/>
              <w:ind w:firstLine="0"/>
              <w:rPr>
                <w:rFonts w:ascii="宋体" w:hAnsi="宋体" w:cs="宋体"/>
              </w:rPr>
            </w:pPr>
            <w:r>
              <w:rPr>
                <w:rFonts w:hint="eastAsia" w:ascii="宋体" w:hAnsi="宋体" w:cs="宋体"/>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1</w:t>
            </w:r>
          </w:p>
        </w:tc>
        <w:tc>
          <w:tcPr>
            <w:tcW w:w="1632" w:type="dxa"/>
            <w:vAlign w:val="center"/>
          </w:tcPr>
          <w:p>
            <w:pPr>
              <w:snapToGrid w:val="0"/>
              <w:spacing w:line="360" w:lineRule="atLeast"/>
              <w:jc w:val="center"/>
              <w:rPr>
                <w:rFonts w:ascii="宋体" w:hAnsi="宋体" w:cs="宋体"/>
                <w:szCs w:val="21"/>
              </w:rPr>
            </w:pPr>
            <w:r>
              <w:rPr>
                <w:rFonts w:hint="eastAsia" w:ascii="宋体" w:hAnsi="宋体" w:cs="宋体"/>
                <w:color w:val="000000"/>
                <w:szCs w:val="21"/>
              </w:rPr>
              <w:t>农村生活污水终端设施远程智能化改造</w:t>
            </w:r>
          </w:p>
        </w:tc>
        <w:tc>
          <w:tcPr>
            <w:tcW w:w="3653" w:type="dxa"/>
          </w:tcPr>
          <w:p>
            <w:pPr>
              <w:snapToGrid w:val="0"/>
              <w:spacing w:line="360" w:lineRule="atLeast"/>
              <w:rPr>
                <w:rFonts w:ascii="宋体" w:hAnsi="宋体" w:cs="宋体"/>
                <w:szCs w:val="21"/>
              </w:rPr>
            </w:pPr>
            <w:r>
              <w:rPr>
                <w:rFonts w:hint="eastAsia" w:ascii="宋体" w:hAnsi="宋体" w:cs="宋体"/>
                <w:color w:val="000000"/>
                <w:szCs w:val="21"/>
              </w:rPr>
              <w:t>终端智能化改造，确保运维软件可实现但不限于终端图像抓拍、用电设备工况采集、流量数据读取、设备远程操控等功能。</w:t>
            </w:r>
          </w:p>
        </w:tc>
        <w:tc>
          <w:tcPr>
            <w:tcW w:w="1412" w:type="dxa"/>
          </w:tcPr>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r>
              <w:rPr>
                <w:rFonts w:hint="eastAsia" w:ascii="宋体" w:hAnsi="宋体" w:cs="宋体"/>
                <w:szCs w:val="21"/>
              </w:rPr>
              <w:t>150</w:t>
            </w:r>
          </w:p>
        </w:tc>
        <w:tc>
          <w:tcPr>
            <w:tcW w:w="1849" w:type="dxa"/>
            <w:shd w:val="clear" w:color="auto" w:fill="auto"/>
            <w:vAlign w:val="center"/>
          </w:tcPr>
          <w:p>
            <w:pPr>
              <w:widowControl/>
              <w:jc w:val="center"/>
              <w:rPr>
                <w:rFonts w:ascii="宋体" w:hAnsi="宋体" w:cs="宋体"/>
                <w:szCs w:val="21"/>
              </w:rPr>
            </w:pPr>
            <w:r>
              <w:rPr>
                <w:rFonts w:hint="eastAsia" w:ascii="宋体" w:hAnsi="宋体" w:cs="宋体"/>
                <w:szCs w:val="21"/>
              </w:rPr>
              <w:t>0.6万元/套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2</w:t>
            </w:r>
          </w:p>
        </w:tc>
        <w:tc>
          <w:tcPr>
            <w:tcW w:w="1632" w:type="dxa"/>
          </w:tcPr>
          <w:p>
            <w:pPr>
              <w:snapToGrid w:val="0"/>
              <w:spacing w:line="360" w:lineRule="atLeast"/>
              <w:jc w:val="left"/>
              <w:rPr>
                <w:rFonts w:ascii="宋体" w:hAnsi="宋体" w:cs="宋体"/>
                <w:color w:val="000000"/>
                <w:szCs w:val="21"/>
              </w:rPr>
            </w:pPr>
            <w:r>
              <w:rPr>
                <w:rFonts w:hint="eastAsia" w:ascii="宋体" w:hAnsi="宋体" w:cs="宋体"/>
                <w:color w:val="000000"/>
                <w:szCs w:val="21"/>
              </w:rPr>
              <w:t>水质在线检测设备运行维护</w:t>
            </w:r>
          </w:p>
        </w:tc>
        <w:tc>
          <w:tcPr>
            <w:tcW w:w="3653" w:type="dxa"/>
          </w:tcPr>
          <w:p>
            <w:pPr>
              <w:snapToGrid w:val="0"/>
              <w:spacing w:line="360" w:lineRule="atLeast"/>
              <w:rPr>
                <w:rFonts w:ascii="宋体" w:hAnsi="宋体" w:cs="宋体"/>
                <w:color w:val="000000"/>
                <w:szCs w:val="21"/>
              </w:rPr>
            </w:pPr>
            <w:r>
              <w:rPr>
                <w:rFonts w:hint="eastAsia" w:ascii="宋体" w:hAnsi="宋体" w:cs="宋体"/>
                <w:color w:val="000000"/>
                <w:szCs w:val="21"/>
              </w:rPr>
              <w:t>是指对在线水质检测仪器设备进行维护，按要求更换水质检测耗材，保障数据正常显示和报送</w:t>
            </w:r>
          </w:p>
        </w:tc>
        <w:tc>
          <w:tcPr>
            <w:tcW w:w="1412" w:type="dxa"/>
          </w:tcPr>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r>
              <w:rPr>
                <w:rFonts w:hint="eastAsia" w:ascii="宋体" w:hAnsi="宋体" w:cs="宋体"/>
                <w:szCs w:val="21"/>
              </w:rPr>
              <w:t>4</w:t>
            </w:r>
          </w:p>
        </w:tc>
        <w:tc>
          <w:tcPr>
            <w:tcW w:w="1849" w:type="dxa"/>
            <w:shd w:val="clear" w:color="auto" w:fill="auto"/>
            <w:vAlign w:val="center"/>
          </w:tcPr>
          <w:p>
            <w:pPr>
              <w:pStyle w:val="2"/>
              <w:spacing w:before="120"/>
              <w:ind w:firstLine="0"/>
              <w:jc w:val="center"/>
              <w:rPr>
                <w:rFonts w:ascii="宋体" w:hAnsi="宋体" w:cs="宋体"/>
              </w:rPr>
            </w:pPr>
            <w:r>
              <w:rPr>
                <w:rFonts w:hint="eastAsia" w:ascii="宋体" w:hAnsi="宋体" w:cs="宋体"/>
                <w:kern w:val="2"/>
                <w:szCs w:val="21"/>
              </w:rPr>
              <w:t>12万元/套·年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2</w:t>
            </w:r>
          </w:p>
        </w:tc>
        <w:tc>
          <w:tcPr>
            <w:tcW w:w="1632" w:type="dxa"/>
            <w:vMerge w:val="restart"/>
            <w:vAlign w:val="center"/>
          </w:tcPr>
          <w:p>
            <w:pPr>
              <w:snapToGrid w:val="0"/>
              <w:spacing w:line="360" w:lineRule="atLeast"/>
              <w:jc w:val="center"/>
              <w:rPr>
                <w:rFonts w:ascii="宋体" w:hAnsi="宋体" w:cs="宋体"/>
                <w:szCs w:val="21"/>
              </w:rPr>
            </w:pPr>
            <w:r>
              <w:rPr>
                <w:rFonts w:hint="eastAsia" w:ascii="宋体" w:hAnsi="宋体" w:cs="宋体"/>
                <w:color w:val="000000"/>
                <w:szCs w:val="21"/>
              </w:rPr>
              <w:t>农村生活污水终端设施运行维护</w:t>
            </w: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6T/D-29T/D 微动力终端运行维护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310</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1.35万元/座·年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3</w:t>
            </w:r>
          </w:p>
        </w:tc>
        <w:tc>
          <w:tcPr>
            <w:tcW w:w="1632" w:type="dxa"/>
            <w:vMerge w:val="continue"/>
          </w:tcPr>
          <w:p>
            <w:pPr>
              <w:snapToGrid w:val="0"/>
              <w:spacing w:line="360" w:lineRule="atLeast"/>
              <w:rPr>
                <w:rFonts w:ascii="宋体" w:hAnsi="宋体" w:cs="宋体"/>
                <w:szCs w:val="21"/>
              </w:rPr>
            </w:pP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30T/D-99T/D 微动力终端运行维护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85</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1.95万元/座·年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4</w:t>
            </w:r>
          </w:p>
        </w:tc>
        <w:tc>
          <w:tcPr>
            <w:tcW w:w="1632" w:type="dxa"/>
            <w:vMerge w:val="continue"/>
          </w:tcPr>
          <w:p>
            <w:pPr>
              <w:snapToGrid w:val="0"/>
              <w:spacing w:line="360" w:lineRule="atLeast"/>
              <w:rPr>
                <w:rFonts w:ascii="宋体" w:hAnsi="宋体" w:cs="宋体"/>
                <w:szCs w:val="21"/>
              </w:rPr>
            </w:pP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100T/D-199T/D 微动力终端运行维护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35</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2.75万元/座·年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5</w:t>
            </w:r>
          </w:p>
        </w:tc>
        <w:tc>
          <w:tcPr>
            <w:tcW w:w="1632" w:type="dxa"/>
            <w:vMerge w:val="continue"/>
          </w:tcPr>
          <w:p>
            <w:pPr>
              <w:snapToGrid w:val="0"/>
              <w:spacing w:line="360" w:lineRule="atLeast"/>
              <w:rPr>
                <w:rFonts w:ascii="宋体" w:hAnsi="宋体" w:cs="宋体"/>
                <w:szCs w:val="21"/>
              </w:rPr>
            </w:pP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200T/D以上(含200T/D)微动力终端运行维护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25</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5.6万元/座·年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6</w:t>
            </w:r>
          </w:p>
        </w:tc>
        <w:tc>
          <w:tcPr>
            <w:tcW w:w="1632" w:type="dxa"/>
            <w:vMerge w:val="continue"/>
          </w:tcPr>
          <w:p>
            <w:pPr>
              <w:snapToGrid w:val="0"/>
              <w:spacing w:line="360" w:lineRule="atLeast"/>
              <w:rPr>
                <w:rFonts w:ascii="宋体" w:hAnsi="宋体" w:cs="宋体"/>
                <w:szCs w:val="21"/>
              </w:rPr>
            </w:pP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户用处理设施（罐）运行维护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530</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0.75万元/座·年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7</w:t>
            </w:r>
          </w:p>
        </w:tc>
        <w:tc>
          <w:tcPr>
            <w:tcW w:w="1632" w:type="dxa"/>
            <w:vMerge w:val="continue"/>
          </w:tcPr>
          <w:p>
            <w:pPr>
              <w:snapToGrid w:val="0"/>
              <w:spacing w:line="360" w:lineRule="atLeast"/>
              <w:rPr>
                <w:rFonts w:ascii="宋体" w:hAnsi="宋体" w:cs="宋体"/>
                <w:szCs w:val="21"/>
              </w:rPr>
            </w:pPr>
          </w:p>
        </w:tc>
        <w:tc>
          <w:tcPr>
            <w:tcW w:w="3653" w:type="dxa"/>
            <w:vAlign w:val="center"/>
          </w:tcPr>
          <w:p>
            <w:pPr>
              <w:snapToGrid w:val="0"/>
              <w:spacing w:line="360" w:lineRule="atLeast"/>
              <w:rPr>
                <w:rFonts w:ascii="宋体" w:hAnsi="宋体" w:cs="宋体"/>
                <w:color w:val="000000"/>
                <w:szCs w:val="21"/>
              </w:rPr>
            </w:pPr>
            <w:r>
              <w:rPr>
                <w:rFonts w:hint="eastAsia" w:ascii="宋体" w:hAnsi="宋体" w:cs="宋体"/>
                <w:color w:val="000000"/>
                <w:szCs w:val="21"/>
              </w:rPr>
              <w:t>无动力人工湿地运行维护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230</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0.3万元/座·年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9</w:t>
            </w:r>
          </w:p>
        </w:tc>
        <w:tc>
          <w:tcPr>
            <w:tcW w:w="1632" w:type="dxa"/>
            <w:vMerge w:val="restart"/>
            <w:vAlign w:val="center"/>
          </w:tcPr>
          <w:p>
            <w:pPr>
              <w:snapToGrid w:val="0"/>
              <w:spacing w:line="360" w:lineRule="atLeast"/>
              <w:jc w:val="center"/>
              <w:rPr>
                <w:rFonts w:ascii="宋体" w:hAnsi="宋体" w:cs="宋体"/>
                <w:color w:val="000000"/>
                <w:szCs w:val="21"/>
              </w:rPr>
            </w:pPr>
          </w:p>
          <w:p>
            <w:pPr>
              <w:snapToGrid w:val="0"/>
              <w:spacing w:line="360" w:lineRule="atLeast"/>
              <w:jc w:val="center"/>
              <w:rPr>
                <w:rFonts w:ascii="宋体" w:hAnsi="宋体" w:cs="宋体"/>
                <w:color w:val="000000"/>
                <w:szCs w:val="21"/>
              </w:rPr>
            </w:pPr>
          </w:p>
          <w:p>
            <w:pPr>
              <w:snapToGrid w:val="0"/>
              <w:spacing w:line="360" w:lineRule="atLeast"/>
              <w:jc w:val="center"/>
              <w:rPr>
                <w:rFonts w:ascii="宋体" w:hAnsi="宋体" w:cs="宋体"/>
                <w:szCs w:val="21"/>
              </w:rPr>
            </w:pPr>
            <w:r>
              <w:rPr>
                <w:rFonts w:hint="eastAsia" w:ascii="宋体" w:hAnsi="宋体" w:cs="宋体"/>
                <w:color w:val="000000"/>
                <w:szCs w:val="21"/>
              </w:rPr>
              <w:t>农村生活污水管网及其他设施运行维护</w:t>
            </w:r>
          </w:p>
        </w:tc>
        <w:tc>
          <w:tcPr>
            <w:tcW w:w="3653" w:type="dxa"/>
            <w:vAlign w:val="center"/>
          </w:tcPr>
          <w:p>
            <w:pPr>
              <w:widowControl/>
              <w:ind w:right="62"/>
              <w:rPr>
                <w:rFonts w:ascii="宋体" w:hAnsi="宋体" w:cs="宋体"/>
                <w:color w:val="000000"/>
                <w:szCs w:val="21"/>
              </w:rPr>
            </w:pPr>
            <w:r>
              <w:rPr>
                <w:rFonts w:hint="eastAsia" w:ascii="宋体" w:hAnsi="宋体" w:cs="宋体"/>
                <w:color w:val="000000"/>
                <w:szCs w:val="21"/>
              </w:rPr>
              <w:t>简易设施（无动力）运行维护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1500</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0.04万元/座·年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10</w:t>
            </w:r>
          </w:p>
        </w:tc>
        <w:tc>
          <w:tcPr>
            <w:tcW w:w="1632" w:type="dxa"/>
            <w:vMerge w:val="continue"/>
            <w:vAlign w:val="center"/>
          </w:tcPr>
          <w:p>
            <w:pPr>
              <w:snapToGrid w:val="0"/>
              <w:spacing w:line="360" w:lineRule="atLeast"/>
              <w:jc w:val="center"/>
              <w:rPr>
                <w:rFonts w:ascii="宋体" w:hAnsi="宋体" w:cs="宋体"/>
                <w:szCs w:val="21"/>
              </w:rPr>
            </w:pPr>
          </w:p>
        </w:tc>
        <w:tc>
          <w:tcPr>
            <w:tcW w:w="3653" w:type="dxa"/>
            <w:vAlign w:val="center"/>
          </w:tcPr>
          <w:p>
            <w:pPr>
              <w:widowControl/>
              <w:ind w:right="62"/>
              <w:rPr>
                <w:rFonts w:ascii="宋体" w:hAnsi="宋体" w:cs="宋体"/>
                <w:color w:val="000000"/>
                <w:szCs w:val="21"/>
              </w:rPr>
            </w:pPr>
            <w:r>
              <w:rPr>
                <w:rFonts w:hint="eastAsia" w:ascii="宋体" w:hAnsi="宋体" w:cs="宋体"/>
                <w:color w:val="000000"/>
                <w:szCs w:val="21"/>
              </w:rPr>
              <w:t>提升泵站维护</w:t>
            </w:r>
          </w:p>
        </w:tc>
        <w:tc>
          <w:tcPr>
            <w:tcW w:w="1412" w:type="dxa"/>
          </w:tcPr>
          <w:p>
            <w:pPr>
              <w:snapToGrid w:val="0"/>
              <w:spacing w:line="360" w:lineRule="atLeast"/>
              <w:jc w:val="center"/>
              <w:rPr>
                <w:rFonts w:ascii="宋体" w:hAnsi="宋体" w:cs="宋体"/>
                <w:szCs w:val="21"/>
              </w:rPr>
            </w:pPr>
            <w:r>
              <w:rPr>
                <w:rFonts w:hint="eastAsia" w:ascii="宋体" w:hAnsi="宋体" w:cs="宋体"/>
                <w:szCs w:val="21"/>
              </w:rPr>
              <w:t>50</w:t>
            </w:r>
          </w:p>
        </w:tc>
        <w:tc>
          <w:tcPr>
            <w:tcW w:w="1849" w:type="dxa"/>
            <w:shd w:val="clear" w:color="auto" w:fill="auto"/>
            <w:vAlign w:val="center"/>
          </w:tcPr>
          <w:p>
            <w:pPr>
              <w:widowControl/>
              <w:jc w:val="center"/>
              <w:rPr>
                <w:rFonts w:ascii="宋体" w:hAnsi="宋体" w:cs="宋体"/>
                <w:color w:val="000000"/>
                <w:szCs w:val="21"/>
              </w:rPr>
            </w:pPr>
            <w:r>
              <w:rPr>
                <w:rFonts w:hint="eastAsia" w:ascii="宋体" w:hAnsi="宋体" w:cs="宋体"/>
                <w:color w:val="000000"/>
                <w:szCs w:val="21"/>
              </w:rPr>
              <w:t>0.375万元/座·年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634" w:type="dxa"/>
            <w:vAlign w:val="center"/>
          </w:tcPr>
          <w:p>
            <w:pPr>
              <w:snapToGrid w:val="0"/>
              <w:spacing w:line="360" w:lineRule="atLeast"/>
              <w:jc w:val="center"/>
              <w:rPr>
                <w:rFonts w:ascii="宋体" w:hAnsi="宋体" w:cs="宋体"/>
                <w:szCs w:val="21"/>
              </w:rPr>
            </w:pPr>
            <w:r>
              <w:rPr>
                <w:rFonts w:hint="eastAsia" w:ascii="宋体" w:hAnsi="宋体" w:cs="宋体"/>
                <w:szCs w:val="21"/>
              </w:rPr>
              <w:t>11</w:t>
            </w:r>
          </w:p>
        </w:tc>
        <w:tc>
          <w:tcPr>
            <w:tcW w:w="1632" w:type="dxa"/>
            <w:vMerge w:val="continue"/>
            <w:vAlign w:val="center"/>
          </w:tcPr>
          <w:p>
            <w:pPr>
              <w:snapToGrid w:val="0"/>
              <w:spacing w:line="360" w:lineRule="atLeast"/>
              <w:jc w:val="center"/>
              <w:rPr>
                <w:rFonts w:ascii="宋体" w:hAnsi="宋体" w:cs="宋体"/>
                <w:szCs w:val="21"/>
              </w:rPr>
            </w:pPr>
          </w:p>
        </w:tc>
        <w:tc>
          <w:tcPr>
            <w:tcW w:w="3653" w:type="dxa"/>
            <w:vAlign w:val="center"/>
          </w:tcPr>
          <w:p>
            <w:pPr>
              <w:widowControl/>
              <w:ind w:right="62"/>
              <w:rPr>
                <w:rFonts w:ascii="宋体" w:hAnsi="宋体" w:cs="宋体"/>
                <w:color w:val="000000"/>
                <w:szCs w:val="21"/>
              </w:rPr>
            </w:pPr>
            <w:r>
              <w:rPr>
                <w:rFonts w:hint="eastAsia" w:ascii="宋体" w:hAnsi="宋体" w:cs="宋体"/>
                <w:color w:val="000000"/>
                <w:szCs w:val="21"/>
              </w:rPr>
              <w:t>是指除终端设施（微动力终端、户用处理罐、无动力人工湿地）、提升泵站、简易设施（无动力）以外的其他所有农村生活污水治理设施及其附属设施（包含但不限于管网、清扫井、化粪池、隔油池、检查井、生态池等）运行维护。</w:t>
            </w:r>
          </w:p>
        </w:tc>
        <w:tc>
          <w:tcPr>
            <w:tcW w:w="1412" w:type="dxa"/>
          </w:tcPr>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r>
              <w:rPr>
                <w:rFonts w:hint="eastAsia" w:ascii="宋体" w:hAnsi="宋体" w:cs="宋体"/>
                <w:szCs w:val="21"/>
              </w:rPr>
              <w:t>50000</w:t>
            </w:r>
          </w:p>
        </w:tc>
        <w:tc>
          <w:tcPr>
            <w:tcW w:w="1849" w:type="dxa"/>
            <w:shd w:val="clear" w:color="auto" w:fill="auto"/>
            <w:vAlign w:val="center"/>
          </w:tcPr>
          <w:p>
            <w:pPr>
              <w:widowControl/>
              <w:jc w:val="center"/>
              <w:rPr>
                <w:rFonts w:ascii="宋体" w:hAnsi="宋体" w:cs="宋体"/>
              </w:rPr>
            </w:pPr>
          </w:p>
          <w:p>
            <w:pPr>
              <w:widowControl/>
              <w:jc w:val="center"/>
              <w:rPr>
                <w:rFonts w:ascii="宋体" w:hAnsi="宋体" w:cs="宋体"/>
              </w:rPr>
            </w:pPr>
          </w:p>
          <w:p>
            <w:pPr>
              <w:widowControl/>
              <w:jc w:val="center"/>
              <w:rPr>
                <w:rFonts w:ascii="宋体" w:hAnsi="宋体" w:cs="宋体"/>
              </w:rPr>
            </w:pPr>
          </w:p>
          <w:p>
            <w:pPr>
              <w:widowControl/>
              <w:jc w:val="center"/>
              <w:rPr>
                <w:rFonts w:ascii="宋体" w:hAnsi="宋体" w:cs="宋体"/>
              </w:rPr>
            </w:pPr>
          </w:p>
          <w:p>
            <w:pPr>
              <w:widowControl/>
              <w:jc w:val="center"/>
              <w:rPr>
                <w:rFonts w:ascii="宋体" w:hAnsi="宋体" w:cs="宋体"/>
              </w:rPr>
            </w:pPr>
            <w:r>
              <w:rPr>
                <w:rFonts w:hint="eastAsia" w:ascii="宋体" w:hAnsi="宋体" w:cs="宋体"/>
              </w:rPr>
              <w:t>190元/户·年</w:t>
            </w:r>
          </w:p>
          <w:p>
            <w:pPr>
              <w:pStyle w:val="2"/>
              <w:spacing w:before="120"/>
              <w:jc w:val="center"/>
              <w:rPr>
                <w:rFonts w:ascii="宋体" w:hAnsi="宋体" w:cs="宋体"/>
                <w:color w:val="000000"/>
                <w:szCs w:val="21"/>
              </w:rPr>
            </w:pPr>
          </w:p>
          <w:p>
            <w:pPr>
              <w:pStyle w:val="2"/>
              <w:spacing w:before="120"/>
              <w:jc w:val="center"/>
              <w:rPr>
                <w:rFonts w:ascii="宋体" w:hAnsi="宋体" w:cs="宋体"/>
                <w:color w:val="000000"/>
                <w:szCs w:val="21"/>
              </w:rPr>
            </w:pPr>
          </w:p>
          <w:p>
            <w:pPr>
              <w:pStyle w:val="2"/>
              <w:spacing w:before="120"/>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vAlign w:val="center"/>
          </w:tcPr>
          <w:p>
            <w:pPr>
              <w:snapToGrid w:val="0"/>
              <w:spacing w:line="360" w:lineRule="atLeast"/>
              <w:jc w:val="center"/>
              <w:rPr>
                <w:rFonts w:ascii="宋体" w:hAnsi="宋体" w:cs="宋体"/>
                <w:szCs w:val="21"/>
              </w:rPr>
            </w:pPr>
          </w:p>
          <w:p>
            <w:pPr>
              <w:snapToGrid w:val="0"/>
              <w:spacing w:line="360" w:lineRule="atLeast"/>
              <w:jc w:val="center"/>
              <w:rPr>
                <w:rFonts w:ascii="宋体" w:hAnsi="宋体" w:cs="宋体"/>
                <w:szCs w:val="21"/>
              </w:rPr>
            </w:pPr>
            <w:r>
              <w:rPr>
                <w:rFonts w:hint="eastAsia" w:ascii="宋体" w:hAnsi="宋体" w:cs="宋体"/>
                <w:szCs w:val="21"/>
              </w:rPr>
              <w:t>12</w:t>
            </w:r>
          </w:p>
        </w:tc>
        <w:tc>
          <w:tcPr>
            <w:tcW w:w="1632" w:type="dxa"/>
            <w:vAlign w:val="center"/>
          </w:tcPr>
          <w:p>
            <w:pPr>
              <w:snapToGrid w:val="0"/>
              <w:spacing w:line="360" w:lineRule="atLeast"/>
              <w:jc w:val="center"/>
              <w:rPr>
                <w:rFonts w:ascii="宋体" w:hAnsi="宋体" w:cs="宋体"/>
                <w:szCs w:val="21"/>
              </w:rPr>
            </w:pPr>
            <w:r>
              <w:rPr>
                <w:rFonts w:hint="eastAsia" w:ascii="宋体" w:hAnsi="宋体" w:cs="宋体"/>
                <w:szCs w:val="21"/>
              </w:rPr>
              <w:t>省县管理平台运行维护费及污泥等废弃物处置</w:t>
            </w:r>
          </w:p>
        </w:tc>
        <w:tc>
          <w:tcPr>
            <w:tcW w:w="3653" w:type="dxa"/>
            <w:vAlign w:val="center"/>
          </w:tcPr>
          <w:p>
            <w:pPr>
              <w:widowControl/>
              <w:jc w:val="left"/>
              <w:rPr>
                <w:rFonts w:ascii="宋体" w:hAnsi="宋体" w:cs="宋体"/>
                <w:color w:val="000000"/>
                <w:szCs w:val="21"/>
              </w:rPr>
            </w:pPr>
            <w:r>
              <w:rPr>
                <w:rFonts w:hint="eastAsia" w:ascii="宋体" w:hAnsi="宋体" w:cs="宋体"/>
                <w:color w:val="000000"/>
                <w:szCs w:val="21"/>
              </w:rPr>
              <w:t>是指按照省市县主管部门要求，对省、县农村生活污水处理设施运维监督管理平台进行数据上报、补充、更新等维护工作，以及处理设备、化粪池、隔油池、格栅井、人工湿地产生的污泥、粪便、油脂、栅渣、收割后人工湿地植物等废弃物的处置。</w:t>
            </w:r>
          </w:p>
        </w:tc>
        <w:tc>
          <w:tcPr>
            <w:tcW w:w="1412" w:type="dxa"/>
          </w:tcPr>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left"/>
              <w:rPr>
                <w:rFonts w:ascii="宋体" w:hAnsi="宋体" w:cs="宋体"/>
                <w:color w:val="000000"/>
                <w:szCs w:val="21"/>
              </w:rPr>
            </w:pPr>
          </w:p>
          <w:p>
            <w:pPr>
              <w:widowControl/>
              <w:jc w:val="center"/>
              <w:rPr>
                <w:rFonts w:ascii="宋体" w:hAnsi="宋体" w:cs="宋体"/>
                <w:color w:val="000000"/>
                <w:szCs w:val="21"/>
              </w:rPr>
            </w:pPr>
            <w:r>
              <w:rPr>
                <w:rFonts w:hint="eastAsia" w:ascii="宋体" w:hAnsi="宋体" w:cs="宋体"/>
                <w:color w:val="000000"/>
                <w:szCs w:val="21"/>
              </w:rPr>
              <w:t>1</w:t>
            </w:r>
          </w:p>
        </w:tc>
        <w:tc>
          <w:tcPr>
            <w:tcW w:w="1849" w:type="dxa"/>
            <w:shd w:val="clear" w:color="auto" w:fill="auto"/>
            <w:vAlign w:val="center"/>
          </w:tcPr>
          <w:p>
            <w:pPr>
              <w:widowControl/>
              <w:jc w:val="center"/>
              <w:rPr>
                <w:rFonts w:ascii="宋体" w:hAnsi="宋体" w:cs="宋体"/>
                <w:color w:val="000000"/>
                <w:szCs w:val="21"/>
              </w:rPr>
            </w:pPr>
          </w:p>
          <w:p>
            <w:pPr>
              <w:widowControl/>
              <w:jc w:val="center"/>
              <w:rPr>
                <w:rFonts w:ascii="宋体" w:hAnsi="宋体" w:cs="宋体"/>
                <w:color w:val="000000"/>
                <w:szCs w:val="21"/>
              </w:rPr>
            </w:pPr>
          </w:p>
          <w:p>
            <w:pPr>
              <w:widowControl/>
              <w:jc w:val="center"/>
              <w:rPr>
                <w:rFonts w:ascii="宋体" w:hAnsi="宋体" w:cs="宋体"/>
                <w:color w:val="000000"/>
                <w:szCs w:val="21"/>
              </w:rPr>
            </w:pPr>
          </w:p>
          <w:p>
            <w:pPr>
              <w:widowControl/>
              <w:jc w:val="center"/>
              <w:rPr>
                <w:rFonts w:ascii="宋体" w:hAnsi="宋体" w:cs="宋体"/>
                <w:color w:val="000000"/>
                <w:szCs w:val="21"/>
              </w:rPr>
            </w:pPr>
            <w:r>
              <w:rPr>
                <w:rFonts w:hint="eastAsia" w:ascii="宋体" w:hAnsi="宋体" w:cs="宋体"/>
                <w:color w:val="000000"/>
                <w:szCs w:val="21"/>
              </w:rPr>
              <w:t>30万元/年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5"/>
          </w:tcPr>
          <w:p>
            <w:pPr>
              <w:widowControl/>
              <w:tabs>
                <w:tab w:val="left" w:pos="2220"/>
              </w:tabs>
              <w:jc w:val="left"/>
              <w:rPr>
                <w:rFonts w:ascii="宋体" w:hAnsi="宋体" w:cs="宋体"/>
                <w:color w:val="000000"/>
                <w:szCs w:val="21"/>
              </w:rPr>
            </w:pPr>
            <w:r>
              <w:rPr>
                <w:rFonts w:hint="eastAsia" w:ascii="宋体" w:hAnsi="宋体" w:cs="宋体"/>
                <w:szCs w:val="24"/>
              </w:rPr>
              <w:t>注：本次招标设施数量、受益户数为暂估数量，结算时以移交的实际设施数量及受益农户数量为准。每半年，采购人会根据实际情况对移交清单进行调整。</w:t>
            </w:r>
          </w:p>
        </w:tc>
      </w:tr>
    </w:tbl>
    <w:p>
      <w:pPr>
        <w:pStyle w:val="11"/>
        <w:spacing w:before="120" w:after="120" w:line="40" w:lineRule="atLeast"/>
        <w:outlineLvl w:val="0"/>
        <w:rPr>
          <w:rFonts w:hAnsi="宋体" w:cs="宋体"/>
          <w:b/>
          <w:bCs/>
          <w:color w:val="FF0000"/>
          <w:sz w:val="21"/>
          <w:szCs w:val="21"/>
        </w:rPr>
      </w:pPr>
      <w:r>
        <w:rPr>
          <w:rFonts w:hint="eastAsia" w:hAnsi="宋体" w:cs="宋体"/>
          <w:b/>
          <w:bCs/>
          <w:color w:val="FF0000"/>
          <w:sz w:val="21"/>
          <w:szCs w:val="21"/>
        </w:rPr>
        <w:t>▲注：各潜在投标人报价响应时每项单价不得高于上述单价，如其中某一项单价超出上述单价将做投标无效处理。</w:t>
      </w:r>
    </w:p>
    <w:p>
      <w:pPr>
        <w:spacing w:line="420" w:lineRule="exact"/>
        <w:ind w:firstLine="422" w:firstLineChars="200"/>
        <w:jc w:val="left"/>
        <w:rPr>
          <w:rFonts w:ascii="宋体" w:hAnsi="宋体" w:cs="宋体"/>
          <w:kern w:val="0"/>
          <w:szCs w:val="21"/>
        </w:rPr>
      </w:pPr>
      <w:r>
        <w:rPr>
          <w:rFonts w:hint="eastAsia" w:ascii="宋体" w:hAnsi="宋体" w:cs="宋体"/>
          <w:b/>
          <w:kern w:val="0"/>
          <w:szCs w:val="21"/>
        </w:rPr>
        <w:t>安吉县农村生活污水处理设施运维服务项目：</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对县域内指定的农村生活污水处理终端实施远程智能化改造，确保设施符合智能化管理要求。对移交的所有农村生活污水处理设施开展运行维护，具体由</w:t>
      </w:r>
      <w:r>
        <w:rPr>
          <w:rFonts w:hint="eastAsia" w:ascii="宋体" w:hAnsi="宋体" w:cs="宋体"/>
          <w:b/>
          <w:bCs/>
          <w:szCs w:val="21"/>
        </w:rPr>
        <w:t>农村生活污水终端设施运行维护、农村生活污水管网及其他设施运行维护、省县运维平台数据维护及废弃物处置</w:t>
      </w:r>
      <w:r>
        <w:rPr>
          <w:rFonts w:hint="eastAsia" w:ascii="宋体" w:hAnsi="宋体" w:cs="宋体"/>
          <w:szCs w:val="21"/>
        </w:rPr>
        <w:t>等3部分组成。</w:t>
      </w:r>
    </w:p>
    <w:p>
      <w:pPr>
        <w:snapToGrid w:val="0"/>
        <w:spacing w:line="420" w:lineRule="exact"/>
        <w:ind w:firstLine="422" w:firstLineChars="200"/>
        <w:jc w:val="left"/>
        <w:rPr>
          <w:rFonts w:ascii="宋体" w:hAnsi="宋体" w:cs="宋体"/>
          <w:bCs/>
          <w:szCs w:val="21"/>
        </w:rPr>
      </w:pPr>
      <w:r>
        <w:rPr>
          <w:rFonts w:hint="eastAsia" w:ascii="宋体" w:hAnsi="宋体" w:cs="宋体"/>
          <w:b/>
          <w:bCs/>
          <w:szCs w:val="21"/>
        </w:rPr>
        <w:t>2、运维期限：</w:t>
      </w:r>
      <w:r>
        <w:rPr>
          <w:rFonts w:hint="eastAsia" w:ascii="宋体" w:hAnsi="宋体" w:cs="宋体"/>
          <w:kern w:val="0"/>
          <w:szCs w:val="21"/>
        </w:rPr>
        <w:t>一年，以签订合同之日起计算。经采购人考核合格后可续签，最多可续签4次，最后一次续签截止时间为2025年10月31日。</w:t>
      </w:r>
    </w:p>
    <w:p>
      <w:pPr>
        <w:snapToGrid w:val="0"/>
        <w:spacing w:line="420" w:lineRule="exact"/>
        <w:ind w:firstLine="422" w:firstLineChars="200"/>
        <w:jc w:val="left"/>
        <w:rPr>
          <w:rFonts w:ascii="宋体" w:hAnsi="宋体" w:cs="宋体"/>
          <w:bCs/>
          <w:szCs w:val="21"/>
        </w:rPr>
      </w:pPr>
      <w:r>
        <w:rPr>
          <w:rFonts w:hint="eastAsia" w:ascii="宋体" w:hAnsi="宋体" w:cs="宋体"/>
          <w:b/>
          <w:bCs/>
          <w:szCs w:val="21"/>
        </w:rPr>
        <w:t>3、项目实施地点：</w:t>
      </w:r>
      <w:r>
        <w:rPr>
          <w:rFonts w:hint="eastAsia" w:ascii="宋体" w:hAnsi="宋体" w:cs="宋体"/>
          <w:bCs/>
          <w:szCs w:val="21"/>
        </w:rPr>
        <w:t>安吉县县域内。</w:t>
      </w:r>
    </w:p>
    <w:p>
      <w:pPr>
        <w:spacing w:line="420" w:lineRule="exact"/>
        <w:ind w:firstLine="422" w:firstLineChars="200"/>
        <w:jc w:val="left"/>
        <w:rPr>
          <w:rFonts w:ascii="宋体" w:hAnsi="宋体" w:cs="宋体"/>
          <w:b/>
          <w:kern w:val="0"/>
          <w:szCs w:val="21"/>
        </w:rPr>
      </w:pPr>
      <w:r>
        <w:rPr>
          <w:rFonts w:hint="eastAsia" w:ascii="宋体" w:hAnsi="宋体" w:cs="宋体"/>
          <w:b/>
          <w:kern w:val="0"/>
          <w:szCs w:val="21"/>
        </w:rPr>
        <w:t>4、相关说明：</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4.1、本项目由安吉县住房和城乡建设局组织统一招标，并与中标供应商签订合同。</w:t>
      </w:r>
    </w:p>
    <w:p>
      <w:pPr>
        <w:spacing w:line="420" w:lineRule="exact"/>
        <w:ind w:firstLine="420" w:firstLineChars="200"/>
        <w:jc w:val="left"/>
        <w:rPr>
          <w:rFonts w:ascii="宋体" w:hAnsi="宋体" w:cs="宋体"/>
          <w:szCs w:val="21"/>
        </w:rPr>
      </w:pPr>
      <w:r>
        <w:rPr>
          <w:rFonts w:hint="eastAsia" w:ascii="宋体" w:hAnsi="宋体" w:cs="宋体"/>
          <w:szCs w:val="21"/>
        </w:rPr>
        <w:t>4.2、采购人有权对已移交清单进行调整，原则上每半年调整一次。对于运维目标数量的增加、剔除和改变运维目标的类别，中标人不得拒绝，否则经采购人书面警告无果后，终止合同。</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4.3、运维工作应当满足根据《浙江省农村生活污水处理设施管理条例》、《浙江省农村生活污水处理设施水污染物排放标准》、《浙江省县（市、区）农村生活污水治理设施运行维护管理导则（试行）》、《农村生活污水厌氧处理终端运维导则》（试行）、《农村生活污水治理设施第三方运维服务机构 管理导则（试行）》、《农村生活污水治理设施运行维护技术导则》、《浙江省农村生活污水处理设施标准化运维评价导则》、《浙江省农村生活污水处理设施运维费用指导价格指南》、《安吉县农村生活污水处理设施运维考核细则》等省市各相关文件的要求，并根据省市县最新相关文件、要求进行调整。</w:t>
      </w:r>
    </w:p>
    <w:p>
      <w:pPr>
        <w:spacing w:line="440" w:lineRule="exact"/>
        <w:ind w:firstLine="420" w:firstLineChars="200"/>
        <w:rPr>
          <w:rFonts w:ascii="宋体" w:hAnsi="宋体" w:cs="宋体"/>
          <w:b/>
          <w:bCs/>
          <w:szCs w:val="21"/>
        </w:rPr>
      </w:pPr>
      <w:r>
        <w:rPr>
          <w:rFonts w:hint="eastAsia" w:ascii="宋体" w:hAnsi="宋体" w:cs="宋体"/>
          <w:kern w:val="0"/>
          <w:szCs w:val="21"/>
        </w:rPr>
        <w:t>4.4、安吉县住房和城乡建设局对中标供应商进行考核，考核结果作为支付成交供应商运维管理服务费的依据。年度考核得分90分（含90分）以上为优秀，运维资金全额支付；85分以上（含85分）、90分以下为良好，运维资金支付90%；80分以上（含80分）、85分以下为合格，运维资金支付70%；80分以下为不合格，运维资金不予支付，安吉县住房和城乡建设局有权终止合同并不再续签，履约保证金不予退还。（考核办法每年根据实际要求调整）。</w:t>
      </w:r>
    </w:p>
    <w:p>
      <w:pPr>
        <w:spacing w:line="400" w:lineRule="exact"/>
        <w:jc w:val="center"/>
        <w:rPr>
          <w:rFonts w:ascii="宋体" w:hAnsi="宋体" w:cs="宋体"/>
          <w:b/>
          <w:bCs/>
          <w:szCs w:val="21"/>
        </w:rPr>
      </w:pPr>
      <w:r>
        <w:rPr>
          <w:rFonts w:hint="eastAsia" w:ascii="宋体" w:hAnsi="宋体" w:cs="宋体"/>
          <w:b/>
          <w:bCs/>
          <w:szCs w:val="21"/>
        </w:rPr>
        <w:t>安吉县农村生活污水治理设施运维考核评分表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147"/>
        <w:gridCol w:w="4644"/>
        <w:gridCol w:w="142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Align w:val="center"/>
          </w:tcPr>
          <w:p>
            <w:pPr>
              <w:jc w:val="center"/>
              <w:rPr>
                <w:rFonts w:ascii="宋体" w:hAnsi="宋体" w:cs="宋体"/>
                <w:b/>
                <w:bCs/>
                <w:szCs w:val="21"/>
              </w:rPr>
            </w:pPr>
            <w:r>
              <w:rPr>
                <w:rFonts w:hint="eastAsia" w:ascii="宋体" w:hAnsi="宋体" w:cs="宋体"/>
                <w:b/>
                <w:bCs/>
                <w:szCs w:val="21"/>
              </w:rPr>
              <w:t>考核项目</w:t>
            </w:r>
          </w:p>
        </w:tc>
        <w:tc>
          <w:tcPr>
            <w:tcW w:w="3196" w:type="pct"/>
            <w:gridSpan w:val="2"/>
            <w:vAlign w:val="center"/>
          </w:tcPr>
          <w:p>
            <w:pPr>
              <w:jc w:val="center"/>
              <w:rPr>
                <w:rFonts w:ascii="宋体" w:hAnsi="宋体" w:cs="宋体"/>
                <w:b/>
                <w:bCs/>
                <w:szCs w:val="21"/>
              </w:rPr>
            </w:pPr>
            <w:r>
              <w:rPr>
                <w:rFonts w:hint="eastAsia" w:ascii="宋体" w:hAnsi="宋体" w:cs="宋体"/>
                <w:b/>
                <w:bCs/>
                <w:szCs w:val="21"/>
              </w:rPr>
              <w:t>考核内容</w:t>
            </w:r>
          </w:p>
        </w:tc>
        <w:tc>
          <w:tcPr>
            <w:tcW w:w="786" w:type="pct"/>
            <w:vAlign w:val="center"/>
          </w:tcPr>
          <w:p>
            <w:pPr>
              <w:jc w:val="center"/>
              <w:rPr>
                <w:rFonts w:ascii="宋体" w:hAnsi="宋体" w:cs="宋体"/>
                <w:b/>
                <w:bCs/>
                <w:szCs w:val="21"/>
              </w:rPr>
            </w:pPr>
            <w:r>
              <w:rPr>
                <w:rFonts w:hint="eastAsia" w:ascii="宋体" w:hAnsi="宋体" w:cs="宋体"/>
                <w:b/>
                <w:bCs/>
                <w:szCs w:val="21"/>
              </w:rPr>
              <w:t>考核办法</w:t>
            </w:r>
          </w:p>
        </w:tc>
        <w:tc>
          <w:tcPr>
            <w:tcW w:w="426" w:type="pct"/>
            <w:vAlign w:val="center"/>
          </w:tcPr>
          <w:p>
            <w:pPr>
              <w:jc w:val="center"/>
              <w:rPr>
                <w:rFonts w:ascii="宋体" w:hAnsi="宋体" w:cs="宋体"/>
                <w:b/>
                <w:bCs/>
                <w:szCs w:val="21"/>
              </w:rPr>
            </w:pPr>
            <w:r>
              <w:rPr>
                <w:rFonts w:hint="eastAsia" w:ascii="宋体" w:hAnsi="宋体" w:cs="宋体"/>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90" w:type="pct"/>
            <w:vAlign w:val="center"/>
          </w:tcPr>
          <w:p>
            <w:pPr>
              <w:jc w:val="center"/>
              <w:rPr>
                <w:rFonts w:ascii="宋体" w:hAnsi="宋体" w:cs="宋体"/>
                <w:szCs w:val="21"/>
              </w:rPr>
            </w:pPr>
            <w:r>
              <w:rPr>
                <w:rFonts w:hint="eastAsia" w:ascii="宋体" w:hAnsi="宋体" w:cs="宋体"/>
                <w:szCs w:val="21"/>
              </w:rPr>
              <w:t>运维实效</w:t>
            </w:r>
          </w:p>
          <w:p>
            <w:pPr>
              <w:jc w:val="center"/>
              <w:rPr>
                <w:rFonts w:ascii="宋体" w:hAnsi="宋体" w:cs="宋体"/>
                <w:szCs w:val="21"/>
              </w:rPr>
            </w:pPr>
            <w:r>
              <w:rPr>
                <w:rFonts w:hint="eastAsia" w:ascii="宋体" w:hAnsi="宋体" w:cs="宋体"/>
                <w:szCs w:val="21"/>
              </w:rPr>
              <w:t>（100分）</w:t>
            </w:r>
          </w:p>
        </w:tc>
        <w:tc>
          <w:tcPr>
            <w:tcW w:w="3196" w:type="pct"/>
            <w:gridSpan w:val="2"/>
            <w:vAlign w:val="center"/>
          </w:tcPr>
          <w:p>
            <w:pPr>
              <w:spacing w:line="240" w:lineRule="exact"/>
              <w:jc w:val="left"/>
              <w:rPr>
                <w:rFonts w:ascii="宋体" w:hAnsi="宋体" w:cs="宋体"/>
                <w:bCs/>
                <w:szCs w:val="21"/>
              </w:rPr>
            </w:pPr>
            <w:r>
              <w:rPr>
                <w:rFonts w:hint="eastAsia" w:ascii="宋体" w:hAnsi="宋体" w:cs="宋体"/>
                <w:bCs/>
                <w:szCs w:val="21"/>
              </w:rPr>
              <w:t>（1）内部制度齐全、有效且落实到位，内容包括运维管理制度、运维手册、运维人员管理制度、档案资料管理制度、现场管理制度、岗位操作规程、应急预案、车辆管理制度、化验室管理制度、仓库管理制度、内部考核管理制度、异常情况信息上报制度等。</w:t>
            </w:r>
          </w:p>
          <w:p>
            <w:pPr>
              <w:spacing w:line="240" w:lineRule="exact"/>
              <w:jc w:val="left"/>
              <w:rPr>
                <w:rFonts w:ascii="宋体" w:hAnsi="宋体" w:cs="宋体"/>
                <w:bCs/>
                <w:szCs w:val="21"/>
              </w:rPr>
            </w:pPr>
            <w:r>
              <w:rPr>
                <w:rFonts w:hint="eastAsia" w:ascii="宋体" w:hAnsi="宋体" w:cs="宋体"/>
                <w:bCs/>
                <w:szCs w:val="21"/>
              </w:rPr>
              <w:t>（2）运维人员在运维过程中身穿统一工作服，并对运维区域接户、管网、终端等设施具体位置熟悉。落实巡查制度，加强巡查、检查、养护、维修，做好相应记录。</w:t>
            </w:r>
          </w:p>
          <w:p>
            <w:pPr>
              <w:spacing w:line="240" w:lineRule="exact"/>
              <w:jc w:val="left"/>
              <w:rPr>
                <w:rFonts w:ascii="宋体" w:hAnsi="宋体" w:cs="宋体"/>
                <w:bCs/>
                <w:szCs w:val="21"/>
              </w:rPr>
            </w:pPr>
            <w:r>
              <w:rPr>
                <w:rFonts w:hint="eastAsia" w:ascii="宋体" w:hAnsi="宋体" w:cs="宋体"/>
                <w:bCs/>
                <w:szCs w:val="21"/>
              </w:rPr>
              <w:t>（3）接户系统、配套管网、化粪池、提升泵站等各类设施完好通畅，无堵塞渗漏、违章占压、私自接管、裸露破损等现象；相关检查井与井盖完好无损，井盖能正常打开，井底无沉积物，化粪池、清扫井、隔油池、简易设施（无动力）等设施无污水满溢等现象；提升泵站、风机等设备正常运行，功能良好。</w:t>
            </w:r>
          </w:p>
          <w:p>
            <w:pPr>
              <w:spacing w:line="240" w:lineRule="exact"/>
              <w:jc w:val="left"/>
              <w:rPr>
                <w:rFonts w:ascii="宋体" w:hAnsi="宋体" w:cs="宋体"/>
                <w:bCs/>
                <w:szCs w:val="21"/>
              </w:rPr>
            </w:pPr>
            <w:r>
              <w:rPr>
                <w:rFonts w:hint="eastAsia" w:ascii="宋体" w:hAnsi="宋体" w:cs="宋体"/>
                <w:bCs/>
                <w:szCs w:val="21"/>
              </w:rPr>
              <w:t>（4）简易设施生态池、人工湿地完整，植被绿化良好，日常维护和管理工作到位。</w:t>
            </w:r>
          </w:p>
          <w:p>
            <w:pPr>
              <w:spacing w:line="240" w:lineRule="exact"/>
              <w:jc w:val="left"/>
              <w:rPr>
                <w:rFonts w:ascii="宋体" w:hAnsi="宋体" w:cs="宋体"/>
                <w:bCs/>
                <w:szCs w:val="21"/>
              </w:rPr>
            </w:pPr>
            <w:r>
              <w:rPr>
                <w:rFonts w:hint="eastAsia" w:ascii="宋体" w:hAnsi="宋体" w:cs="宋体"/>
                <w:bCs/>
                <w:szCs w:val="21"/>
              </w:rPr>
              <w:t>（5）集中式终端、户用处理设施（罐）及其涉及的各类设施清理到位、设备完好、运行正常、出水无黑臭现象；终端区域及周边环境良好，人工湿地、湿地植物养护到位。</w:t>
            </w:r>
          </w:p>
          <w:p>
            <w:pPr>
              <w:spacing w:line="240" w:lineRule="exact"/>
              <w:jc w:val="left"/>
              <w:rPr>
                <w:rFonts w:ascii="宋体" w:hAnsi="宋体" w:cs="宋体"/>
                <w:bCs/>
                <w:szCs w:val="21"/>
              </w:rPr>
            </w:pPr>
            <w:r>
              <w:rPr>
                <w:rFonts w:hint="eastAsia" w:ascii="宋体" w:hAnsi="宋体" w:cs="宋体"/>
                <w:bCs/>
                <w:szCs w:val="21"/>
              </w:rPr>
              <w:t>（6）确保终端用电规范，严禁私拉乱接。</w:t>
            </w:r>
          </w:p>
          <w:p>
            <w:pPr>
              <w:spacing w:line="240" w:lineRule="exact"/>
              <w:jc w:val="left"/>
              <w:rPr>
                <w:rFonts w:ascii="宋体" w:hAnsi="宋体" w:cs="宋体"/>
                <w:bCs/>
                <w:szCs w:val="21"/>
              </w:rPr>
            </w:pPr>
            <w:r>
              <w:rPr>
                <w:rFonts w:hint="eastAsia" w:ascii="宋体" w:hAnsi="宋体" w:cs="宋体"/>
                <w:bCs/>
                <w:szCs w:val="21"/>
              </w:rPr>
              <w:t>（7）生活污水处理设施安全防护工作到位，无安全隐患。运维作业范围区设置安全警示标识；下井作业需事先报备，至少两人一组，且佩备安全、照明及检测工具；运维现场严禁吸烟、随意动用明火；作业完成后将设施复位。</w:t>
            </w:r>
          </w:p>
          <w:p>
            <w:pPr>
              <w:spacing w:line="240" w:lineRule="exact"/>
              <w:jc w:val="left"/>
              <w:rPr>
                <w:rFonts w:ascii="宋体" w:hAnsi="宋体" w:cs="宋体"/>
                <w:bCs/>
                <w:szCs w:val="21"/>
              </w:rPr>
            </w:pPr>
            <w:r>
              <w:rPr>
                <w:rFonts w:hint="eastAsia" w:ascii="宋体" w:hAnsi="宋体" w:cs="宋体"/>
                <w:bCs/>
                <w:szCs w:val="21"/>
              </w:rPr>
              <w:t>（8）按规定完成进出水质自测，各项操作符合省市导则、规范要求，做好水质检测报告并按时上传系统。</w:t>
            </w:r>
          </w:p>
          <w:p>
            <w:pPr>
              <w:spacing w:line="240" w:lineRule="exact"/>
              <w:jc w:val="left"/>
              <w:rPr>
                <w:rFonts w:ascii="宋体" w:hAnsi="宋体" w:cs="宋体"/>
                <w:bCs/>
                <w:szCs w:val="21"/>
              </w:rPr>
            </w:pPr>
            <w:r>
              <w:rPr>
                <w:rFonts w:hint="eastAsia" w:ascii="宋体" w:hAnsi="宋体" w:cs="宋体"/>
                <w:bCs/>
                <w:szCs w:val="21"/>
              </w:rPr>
              <w:t>（9）承诺出水达标的处理设施应符合出水达标要求，对水质检测结果未达标的处理设施要进行认真分析、评价，及时整改存在的问题。</w:t>
            </w:r>
          </w:p>
          <w:p>
            <w:pPr>
              <w:spacing w:line="240" w:lineRule="exact"/>
              <w:jc w:val="left"/>
              <w:rPr>
                <w:rFonts w:ascii="宋体" w:hAnsi="宋体" w:cs="宋体"/>
                <w:bCs/>
                <w:szCs w:val="21"/>
              </w:rPr>
            </w:pPr>
            <w:r>
              <w:rPr>
                <w:rFonts w:hint="eastAsia" w:ascii="宋体" w:hAnsi="宋体" w:cs="宋体"/>
                <w:bCs/>
                <w:szCs w:val="21"/>
              </w:rPr>
              <w:t>（10）针对终端设施报废、停运等情况应及时书面报送乡镇备案，并在运维平台及时更新。</w:t>
            </w:r>
          </w:p>
          <w:p>
            <w:pPr>
              <w:spacing w:line="240" w:lineRule="exact"/>
              <w:jc w:val="left"/>
              <w:rPr>
                <w:rFonts w:ascii="宋体" w:hAnsi="宋体" w:cs="宋体"/>
                <w:bCs/>
                <w:szCs w:val="21"/>
              </w:rPr>
            </w:pPr>
            <w:r>
              <w:rPr>
                <w:rFonts w:hint="eastAsia" w:ascii="宋体" w:hAnsi="宋体" w:cs="宋体"/>
                <w:bCs/>
                <w:szCs w:val="21"/>
              </w:rPr>
              <w:t>（11）农村生活污水治理设施、管网运维清掏出的污泥、油污等废弃物无害化妥善处理。</w:t>
            </w:r>
          </w:p>
          <w:p>
            <w:pPr>
              <w:spacing w:line="240" w:lineRule="exact"/>
              <w:jc w:val="left"/>
              <w:rPr>
                <w:rFonts w:ascii="宋体" w:hAnsi="宋体" w:cs="宋体"/>
                <w:bCs/>
                <w:szCs w:val="21"/>
              </w:rPr>
            </w:pPr>
            <w:r>
              <w:rPr>
                <w:rFonts w:hint="eastAsia" w:ascii="宋体" w:hAnsi="宋体" w:cs="宋体"/>
                <w:bCs/>
                <w:szCs w:val="21"/>
              </w:rPr>
              <w:t>（12）运维平台数据完整，运行正常。落实各类台账资料制作，并满足省市县具体要求。</w:t>
            </w:r>
          </w:p>
          <w:p>
            <w:pPr>
              <w:spacing w:line="240" w:lineRule="exact"/>
              <w:jc w:val="left"/>
              <w:rPr>
                <w:rFonts w:ascii="宋体" w:hAnsi="宋体" w:cs="宋体"/>
                <w:bCs/>
                <w:szCs w:val="21"/>
              </w:rPr>
            </w:pPr>
            <w:r>
              <w:rPr>
                <w:rFonts w:hint="eastAsia" w:ascii="宋体" w:hAnsi="宋体" w:cs="宋体"/>
                <w:bCs/>
                <w:szCs w:val="21"/>
              </w:rPr>
              <w:t>（13）运维服务响应及时。</w:t>
            </w:r>
          </w:p>
          <w:p>
            <w:pPr>
              <w:spacing w:line="240" w:lineRule="exact"/>
              <w:jc w:val="left"/>
              <w:rPr>
                <w:rFonts w:ascii="宋体" w:hAnsi="宋体" w:cs="宋体"/>
                <w:bCs/>
                <w:szCs w:val="21"/>
              </w:rPr>
            </w:pPr>
            <w:r>
              <w:rPr>
                <w:rFonts w:hint="eastAsia" w:ascii="宋体" w:hAnsi="宋体" w:cs="宋体"/>
                <w:bCs/>
                <w:szCs w:val="21"/>
              </w:rPr>
              <w:t>（14）落实省市县等上级部门其他要求。</w:t>
            </w:r>
          </w:p>
          <w:p>
            <w:pPr>
              <w:spacing w:line="240" w:lineRule="exact"/>
              <w:jc w:val="left"/>
              <w:rPr>
                <w:rFonts w:ascii="宋体" w:hAnsi="宋体" w:cs="宋体"/>
                <w:bCs/>
                <w:szCs w:val="21"/>
              </w:rPr>
            </w:pPr>
            <w:r>
              <w:rPr>
                <w:rFonts w:hint="eastAsia" w:ascii="宋体" w:hAnsi="宋体" w:cs="宋体"/>
                <w:bCs/>
                <w:szCs w:val="21"/>
              </w:rPr>
              <w:t>（15）《浙江省农村生活污水处理设施管理条例》及省市考核办法中要求的其他内容。</w:t>
            </w:r>
          </w:p>
          <w:p>
            <w:pPr>
              <w:spacing w:line="240" w:lineRule="exact"/>
              <w:jc w:val="left"/>
              <w:rPr>
                <w:rFonts w:ascii="宋体" w:hAnsi="宋体" w:cs="宋体"/>
                <w:bCs/>
                <w:szCs w:val="21"/>
              </w:rPr>
            </w:pPr>
            <w:r>
              <w:rPr>
                <w:rFonts w:hint="eastAsia" w:ascii="宋体" w:hAnsi="宋体" w:cs="宋体"/>
                <w:bCs/>
                <w:szCs w:val="21"/>
              </w:rPr>
              <w:t>（16）履行运维合同约定的各项内容。</w:t>
            </w:r>
          </w:p>
          <w:p>
            <w:pPr>
              <w:spacing w:line="240" w:lineRule="exact"/>
              <w:jc w:val="left"/>
              <w:rPr>
                <w:rFonts w:ascii="宋体" w:hAnsi="宋体" w:cs="宋体"/>
                <w:szCs w:val="21"/>
              </w:rPr>
            </w:pPr>
            <w:r>
              <w:rPr>
                <w:rFonts w:hint="eastAsia" w:ascii="宋体" w:hAnsi="宋体" w:cs="宋体"/>
                <w:bCs/>
                <w:szCs w:val="21"/>
              </w:rPr>
              <w:t>（17）采购人与中标人约定的其他内容。</w:t>
            </w:r>
          </w:p>
        </w:tc>
        <w:tc>
          <w:tcPr>
            <w:tcW w:w="786" w:type="pct"/>
            <w:vAlign w:val="center"/>
          </w:tcPr>
          <w:p>
            <w:pPr>
              <w:spacing w:line="240" w:lineRule="exact"/>
              <w:jc w:val="left"/>
              <w:rPr>
                <w:rFonts w:ascii="宋体" w:hAnsi="宋体" w:cs="宋体"/>
                <w:szCs w:val="21"/>
              </w:rPr>
            </w:pPr>
            <w:r>
              <w:rPr>
                <w:rFonts w:hint="eastAsia" w:ascii="宋体" w:hAnsi="宋体" w:cs="宋体"/>
                <w:bCs/>
                <w:szCs w:val="21"/>
              </w:rPr>
              <w:t>考核内容相关问题，严重违反《浙江省农村生活污水处理设施管理条例》、水质出水黑臭的扣2分/次，其余问题每发现一处扣0.5分，扣完为止。</w:t>
            </w:r>
          </w:p>
        </w:tc>
        <w:tc>
          <w:tcPr>
            <w:tcW w:w="426" w:type="pct"/>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0" w:type="pct"/>
            <w:vMerge w:val="restart"/>
            <w:vAlign w:val="center"/>
          </w:tcPr>
          <w:p>
            <w:pPr>
              <w:jc w:val="center"/>
              <w:rPr>
                <w:rFonts w:ascii="宋体" w:hAnsi="宋体" w:cs="宋体"/>
                <w:szCs w:val="21"/>
              </w:rPr>
            </w:pPr>
            <w:r>
              <w:rPr>
                <w:rFonts w:hint="eastAsia" w:ascii="宋体" w:hAnsi="宋体" w:cs="宋体"/>
                <w:szCs w:val="21"/>
              </w:rPr>
              <w:t>加扣分</w:t>
            </w:r>
          </w:p>
        </w:tc>
        <w:tc>
          <w:tcPr>
            <w:tcW w:w="633" w:type="pct"/>
            <w:vAlign w:val="center"/>
          </w:tcPr>
          <w:p>
            <w:pPr>
              <w:snapToGrid w:val="0"/>
              <w:jc w:val="center"/>
              <w:rPr>
                <w:rFonts w:ascii="宋体" w:hAnsi="宋体" w:cs="宋体"/>
                <w:szCs w:val="21"/>
              </w:rPr>
            </w:pPr>
            <w:r>
              <w:rPr>
                <w:rFonts w:hint="eastAsia" w:ascii="宋体" w:hAnsi="宋体" w:cs="宋体"/>
                <w:szCs w:val="21"/>
              </w:rPr>
              <w:t>加分</w:t>
            </w:r>
          </w:p>
        </w:tc>
        <w:tc>
          <w:tcPr>
            <w:tcW w:w="2563" w:type="pct"/>
            <w:vAlign w:val="center"/>
          </w:tcPr>
          <w:p>
            <w:pPr>
              <w:spacing w:line="240" w:lineRule="exact"/>
              <w:jc w:val="left"/>
              <w:rPr>
                <w:rFonts w:ascii="宋体" w:hAnsi="宋体" w:cs="宋体"/>
                <w:bCs/>
                <w:szCs w:val="21"/>
              </w:rPr>
            </w:pPr>
            <w:r>
              <w:rPr>
                <w:rFonts w:hint="eastAsia" w:ascii="宋体" w:hAnsi="宋体" w:cs="宋体"/>
                <w:bCs/>
                <w:szCs w:val="21"/>
              </w:rPr>
              <w:t>1.农村生活污水长效运维工作获得省级及以上主流媒体正面报道，每篇加1分，最多不超过2分。</w:t>
            </w:r>
          </w:p>
          <w:p>
            <w:pPr>
              <w:spacing w:line="240" w:lineRule="exact"/>
              <w:jc w:val="left"/>
              <w:rPr>
                <w:rFonts w:ascii="宋体" w:hAnsi="宋体" w:cs="宋体"/>
                <w:bCs/>
                <w:szCs w:val="21"/>
              </w:rPr>
            </w:pPr>
            <w:r>
              <w:rPr>
                <w:rFonts w:hint="eastAsia" w:ascii="宋体" w:hAnsi="宋体" w:cs="宋体"/>
                <w:bCs/>
                <w:szCs w:val="21"/>
              </w:rPr>
              <w:t>2.农村生活污水长效运维工作县主要领导及市分管领导正面批示每篇加0.5分，市主要领导及省分管领导正面批示每篇加1分，省主要领导及以上批示每篇加3分。</w:t>
            </w:r>
          </w:p>
          <w:p>
            <w:pPr>
              <w:spacing w:line="240" w:lineRule="exact"/>
              <w:jc w:val="left"/>
              <w:rPr>
                <w:rFonts w:ascii="宋体" w:hAnsi="宋体" w:cs="宋体"/>
                <w:bCs/>
                <w:szCs w:val="21"/>
              </w:rPr>
            </w:pPr>
            <w:r>
              <w:rPr>
                <w:rFonts w:hint="eastAsia" w:ascii="宋体" w:hAnsi="宋体" w:cs="宋体"/>
                <w:bCs/>
                <w:szCs w:val="21"/>
              </w:rPr>
              <w:t>3. 协助承办省级现场会议的每次加3分，市级现场会议的每次加1分。</w:t>
            </w:r>
          </w:p>
          <w:p>
            <w:pPr>
              <w:spacing w:line="240" w:lineRule="exact"/>
              <w:jc w:val="left"/>
              <w:rPr>
                <w:rFonts w:ascii="宋体" w:hAnsi="宋体" w:cs="宋体"/>
                <w:bCs/>
                <w:szCs w:val="21"/>
              </w:rPr>
            </w:pPr>
            <w:r>
              <w:rPr>
                <w:rFonts w:hint="eastAsia" w:ascii="宋体" w:hAnsi="宋体" w:cs="宋体"/>
                <w:bCs/>
                <w:szCs w:val="21"/>
              </w:rPr>
              <w:t>4.在农村生活污水治理工作中有尝试性、创新方式、特色亮点的，且被省市肯定的每次加1分。</w:t>
            </w:r>
          </w:p>
        </w:tc>
        <w:tc>
          <w:tcPr>
            <w:tcW w:w="786" w:type="pct"/>
            <w:vAlign w:val="center"/>
          </w:tcPr>
          <w:p>
            <w:pPr>
              <w:jc w:val="center"/>
              <w:rPr>
                <w:rFonts w:ascii="宋体" w:hAnsi="宋体" w:cs="宋体"/>
                <w:szCs w:val="21"/>
              </w:rPr>
            </w:pPr>
            <w:r>
              <w:rPr>
                <w:rFonts w:hint="eastAsia" w:ascii="宋体" w:hAnsi="宋体" w:cs="宋体"/>
                <w:szCs w:val="21"/>
              </w:rPr>
              <w:t>/</w:t>
            </w:r>
          </w:p>
        </w:tc>
        <w:tc>
          <w:tcPr>
            <w:tcW w:w="426" w:type="pc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Merge w:val="continue"/>
            <w:vAlign w:val="center"/>
          </w:tcPr>
          <w:p>
            <w:pPr>
              <w:jc w:val="center"/>
              <w:rPr>
                <w:rFonts w:ascii="宋体" w:hAnsi="宋体" w:cs="宋体"/>
                <w:szCs w:val="21"/>
              </w:rPr>
            </w:pPr>
          </w:p>
        </w:tc>
        <w:tc>
          <w:tcPr>
            <w:tcW w:w="633" w:type="pct"/>
            <w:vAlign w:val="center"/>
          </w:tcPr>
          <w:p>
            <w:pPr>
              <w:snapToGrid w:val="0"/>
              <w:jc w:val="center"/>
              <w:rPr>
                <w:rFonts w:ascii="宋体" w:hAnsi="宋体" w:cs="宋体"/>
                <w:szCs w:val="21"/>
              </w:rPr>
            </w:pPr>
            <w:r>
              <w:rPr>
                <w:rFonts w:hint="eastAsia" w:ascii="宋体" w:hAnsi="宋体" w:cs="宋体"/>
                <w:szCs w:val="21"/>
              </w:rPr>
              <w:t>扣分</w:t>
            </w:r>
          </w:p>
        </w:tc>
        <w:tc>
          <w:tcPr>
            <w:tcW w:w="2563" w:type="pct"/>
            <w:vAlign w:val="center"/>
          </w:tcPr>
          <w:p>
            <w:pPr>
              <w:spacing w:line="240" w:lineRule="exact"/>
              <w:jc w:val="left"/>
              <w:rPr>
                <w:rFonts w:ascii="宋体" w:hAnsi="宋体" w:cs="宋体"/>
                <w:bCs/>
                <w:szCs w:val="21"/>
              </w:rPr>
            </w:pPr>
            <w:r>
              <w:rPr>
                <w:rFonts w:hint="eastAsia" w:ascii="宋体" w:hAnsi="宋体" w:cs="宋体"/>
                <w:bCs/>
                <w:szCs w:val="21"/>
              </w:rPr>
              <w:t>1.有效信访一次扣1-2分。</w:t>
            </w:r>
          </w:p>
          <w:p>
            <w:pPr>
              <w:spacing w:line="240" w:lineRule="exact"/>
              <w:jc w:val="left"/>
              <w:rPr>
                <w:rFonts w:ascii="宋体" w:hAnsi="宋体" w:cs="宋体"/>
                <w:bCs/>
                <w:szCs w:val="21"/>
              </w:rPr>
            </w:pPr>
            <w:r>
              <w:rPr>
                <w:rFonts w:hint="eastAsia" w:ascii="宋体" w:hAnsi="宋体" w:cs="宋体"/>
                <w:bCs/>
                <w:szCs w:val="21"/>
              </w:rPr>
              <w:t>2.县纪委督察组通报批评每次扣1-2分。</w:t>
            </w:r>
          </w:p>
          <w:p>
            <w:pPr>
              <w:spacing w:line="240" w:lineRule="exact"/>
              <w:jc w:val="left"/>
              <w:rPr>
                <w:rFonts w:ascii="宋体" w:hAnsi="宋体" w:cs="宋体"/>
                <w:bCs/>
                <w:szCs w:val="21"/>
              </w:rPr>
            </w:pPr>
            <w:r>
              <w:rPr>
                <w:rFonts w:hint="eastAsia" w:ascii="宋体" w:hAnsi="宋体" w:cs="宋体"/>
                <w:bCs/>
                <w:szCs w:val="21"/>
              </w:rPr>
              <w:t>3.县级部门通报批评每次扣0.5-1分。</w:t>
            </w:r>
          </w:p>
          <w:p>
            <w:pPr>
              <w:spacing w:line="240" w:lineRule="exact"/>
              <w:jc w:val="left"/>
              <w:rPr>
                <w:rFonts w:ascii="宋体" w:hAnsi="宋体" w:cs="宋体"/>
                <w:bCs/>
                <w:szCs w:val="21"/>
              </w:rPr>
            </w:pPr>
            <w:r>
              <w:rPr>
                <w:rFonts w:hint="eastAsia" w:ascii="宋体" w:hAnsi="宋体" w:cs="宋体"/>
                <w:bCs/>
                <w:szCs w:val="21"/>
              </w:rPr>
              <w:t>4.出现县级新闻媒体负面报道的每次扣0.5-1分。</w:t>
            </w:r>
          </w:p>
          <w:p>
            <w:pPr>
              <w:spacing w:line="240" w:lineRule="exact"/>
              <w:jc w:val="left"/>
              <w:rPr>
                <w:rFonts w:ascii="宋体" w:hAnsi="宋体" w:cs="宋体"/>
                <w:bCs/>
                <w:szCs w:val="21"/>
              </w:rPr>
            </w:pPr>
            <w:r>
              <w:rPr>
                <w:rFonts w:hint="eastAsia" w:ascii="宋体" w:hAnsi="宋体" w:cs="宋体"/>
                <w:bCs/>
                <w:szCs w:val="21"/>
              </w:rPr>
              <w:t>5.出现市级通报、负面报道的一次扣1-2分，出现省级及以上通报、负面报道的一次扣3分。</w:t>
            </w:r>
          </w:p>
          <w:p>
            <w:pPr>
              <w:spacing w:line="240" w:lineRule="exact"/>
              <w:jc w:val="left"/>
              <w:rPr>
                <w:rFonts w:ascii="宋体" w:hAnsi="宋体" w:cs="宋体"/>
                <w:bCs/>
                <w:szCs w:val="21"/>
              </w:rPr>
            </w:pPr>
            <w:r>
              <w:rPr>
                <w:rFonts w:hint="eastAsia" w:ascii="宋体" w:hAnsi="宋体" w:cs="宋体"/>
                <w:bCs/>
                <w:szCs w:val="21"/>
              </w:rPr>
              <w:t>6.擅自停运设施扣3分/次。</w:t>
            </w:r>
          </w:p>
          <w:p>
            <w:pPr>
              <w:spacing w:line="240" w:lineRule="exact"/>
              <w:jc w:val="left"/>
              <w:rPr>
                <w:rFonts w:ascii="宋体" w:hAnsi="宋体" w:cs="宋体"/>
                <w:bCs/>
                <w:szCs w:val="21"/>
              </w:rPr>
            </w:pPr>
            <w:r>
              <w:rPr>
                <w:rFonts w:hint="eastAsia" w:ascii="宋体" w:hAnsi="宋体" w:cs="宋体"/>
                <w:bCs/>
                <w:szCs w:val="21"/>
              </w:rPr>
              <w:t>7.被中央、省市督查发现严重问题且影响恶劣，发生死亡等重大安全事故、群体性信访事件的年终考核直接不合格。</w:t>
            </w:r>
          </w:p>
        </w:tc>
        <w:tc>
          <w:tcPr>
            <w:tcW w:w="786" w:type="pct"/>
            <w:vAlign w:val="center"/>
          </w:tcPr>
          <w:p>
            <w:pPr>
              <w:jc w:val="center"/>
              <w:rPr>
                <w:rFonts w:ascii="宋体" w:hAnsi="宋体" w:cs="宋体"/>
                <w:szCs w:val="21"/>
              </w:rPr>
            </w:pPr>
            <w:r>
              <w:rPr>
                <w:rFonts w:hint="eastAsia" w:ascii="宋体" w:hAnsi="宋体" w:cs="宋体"/>
                <w:szCs w:val="21"/>
              </w:rPr>
              <w:t>/</w:t>
            </w:r>
          </w:p>
        </w:tc>
        <w:tc>
          <w:tcPr>
            <w:tcW w:w="426" w:type="pct"/>
            <w:vAlign w:val="center"/>
          </w:tcPr>
          <w:p>
            <w:pPr>
              <w:jc w:val="center"/>
              <w:rPr>
                <w:rFonts w:ascii="宋体" w:hAnsi="宋体" w:cs="宋体"/>
                <w:szCs w:val="21"/>
              </w:rPr>
            </w:pPr>
          </w:p>
        </w:tc>
      </w:tr>
    </w:tbl>
    <w:p>
      <w:pPr>
        <w:pStyle w:val="8"/>
        <w:tabs>
          <w:tab w:val="left" w:pos="4018"/>
        </w:tabs>
        <w:spacing w:line="420" w:lineRule="exact"/>
        <w:ind w:firstLine="422" w:firstLineChars="200"/>
        <w:jc w:val="left"/>
        <w:rPr>
          <w:rFonts w:ascii="宋体" w:hAnsi="宋体" w:cs="宋体"/>
          <w:b/>
          <w:szCs w:val="21"/>
        </w:rPr>
      </w:pPr>
      <w:r>
        <w:rPr>
          <w:rFonts w:hint="eastAsia" w:ascii="宋体" w:hAnsi="宋体" w:cs="宋体"/>
          <w:b/>
          <w:szCs w:val="21"/>
        </w:rPr>
        <w:t>二、整体要求</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运维期间，运维单位负责对农村污水处理设施（含终端设施、管网及其他设施）等进行巡检、养护和维修，保障系统的正常、稳定运行，数据完整率和有效率达到主管部门要求。因运维单位未尽维护责任导致的由运维单位负责解决。</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供应商应提供运维软件，建立企业运维平台，运维平台需与智能化改造的终端设施相关硬件适配，供应商需确保企业运维平台与现有的终端设施、省市县各级监管平台数据传输，确保端口与省、市、县平台无缝对接。</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2、供应商提供的物联技术的智能模块必须能与采购人现有的数字平台实现数据和接口兼容对接和升级。</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3、运维期间，供应商需保障省、县运维平台的正常、稳定运行，数据完整率和有效率达到主管部门要求。</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4、供应商应根据需求，对指定的污水处理终端实施远程智能化改造，包括安装远程监控、风机水泵远程控制、数据采集传输模块等，确保满足省市县主管部门对终端智能化管理的需求。所涉及的货物免费保修期为三年，在保修期内因货物本身的质量问题发生故障，供应商应负责免费更换或提供后续服务。</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5、配电设施到位，运转正常，无缺损、漏电、跳闸、读数异常等现象；保证设备运转正常，设施运行良好。</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6、配备管网疏通、吸污、检测等其他相关专用设备，定期检查、清理污水井和管道淤积物，保持管道的过流通畅，无堵塞、污水外溢等现象发生。</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7、格栅井、调节池、一体化设备、沉淀池、出水井的定期清理，保障进出水通畅，妥善处置清理产生的垃圾、污泥，清理周期由按工艺和实际使用情况确定。</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8、做好植被养护。人工湿地水生植物的清捞，复合湿地绿色植物的季节性除草、防冻、修剪、清理和补种，无占绿、毁绿、虫害、枯烂枝头、枝体倾斜等现象，并保证人工湿地的清洁、美观和正常运行。</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9、污水处理设施的设备、附属设施和环境的清理清洁。</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10、运维人员应定期参加污水治理技术培训，了解和掌握污水处理工艺的原理和维护方式，提高维护能力。</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11、在运维过程中，发现出水水质未达到设计标准，或污水处理设施运行异常（如基础沉降导致泄漏）的，应第一时间汇报主管部门，并在后续消缺过程中提供必要的协助。</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12、建立运行维护管理台帐，内容包括污水处理设施详细信息、操作规范规程、处理水量记录、水质检测记录、运行维护管理巡查、维修记录等。</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13、对运维数据进行整理和分析，并统计、输出各类报表，每月报送主管部门。</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14、省、县智能监控平台，由中标单位派驻平台运维人员，维护平台进行数据对接，定期传输水质、水量及巡检、标准化等数据。</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15、接受和服从本县主管部门的管理、指导和考核，安排专人协助主管部门完成农村污水治理设施的运行管理、现场巡查、资料上报等工作。</w:t>
      </w:r>
    </w:p>
    <w:p>
      <w:pPr>
        <w:pStyle w:val="8"/>
        <w:spacing w:line="420" w:lineRule="exact"/>
        <w:ind w:firstLine="420" w:firstLineChars="200"/>
        <w:jc w:val="left"/>
        <w:rPr>
          <w:rFonts w:ascii="宋体" w:hAnsi="宋体" w:cs="宋体"/>
          <w:bCs/>
          <w:szCs w:val="21"/>
        </w:rPr>
      </w:pPr>
      <w:r>
        <w:rPr>
          <w:rFonts w:hint="eastAsia" w:ascii="宋体" w:hAnsi="宋体" w:cs="宋体"/>
          <w:bCs/>
          <w:szCs w:val="21"/>
        </w:rPr>
        <w:t>16、供应商应建立质量管理体系，确保管理规范。</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17、在中标后30天内，中标单位（外地公司）必须在安吉县成立分公司。</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18、在中标后10天内，中标单位必须按要求配置通勤车辆、特殊车辆及设备。</w:t>
      </w:r>
    </w:p>
    <w:p>
      <w:pPr>
        <w:spacing w:line="420" w:lineRule="exact"/>
        <w:ind w:firstLine="420" w:firstLineChars="200"/>
        <w:jc w:val="left"/>
        <w:rPr>
          <w:rFonts w:ascii="宋体" w:hAnsi="宋体" w:cs="宋体"/>
          <w:kern w:val="0"/>
          <w:szCs w:val="21"/>
        </w:rPr>
      </w:pPr>
      <w:r>
        <w:rPr>
          <w:rFonts w:hint="eastAsia" w:ascii="宋体" w:hAnsi="宋体" w:cs="宋体"/>
          <w:kern w:val="0"/>
          <w:szCs w:val="21"/>
        </w:rPr>
        <w:t>19、在中标后45天内，中标单位必须在安吉县域内建立水质化验室，面积不少于100平方，至少满足八项水质指标：PH，化学需氧量、氨氮、总磷、总氮、悬浮物、动植物油、粪大肠杆菌等以上的检测（其中粪大肠杆菌可委托第三方进行检测），且不得低于浙江省农村生活污水排放标准要求达到的水质指标。</w:t>
      </w:r>
    </w:p>
    <w:p>
      <w:pPr>
        <w:pStyle w:val="8"/>
        <w:spacing w:line="420" w:lineRule="exact"/>
        <w:ind w:firstLine="420" w:firstLineChars="200"/>
        <w:jc w:val="left"/>
        <w:rPr>
          <w:rFonts w:ascii="宋体" w:hAnsi="宋体" w:cs="宋体"/>
          <w:b/>
          <w:szCs w:val="21"/>
        </w:rPr>
      </w:pPr>
      <w:r>
        <w:rPr>
          <w:rFonts w:hint="eastAsia" w:ascii="宋体" w:hAnsi="宋体" w:cs="宋体"/>
          <w:bCs/>
          <w:szCs w:val="21"/>
        </w:rPr>
        <w:t>20、完成主管部门或各乡镇（街道）交办的其他相关工作。</w:t>
      </w:r>
    </w:p>
    <w:p>
      <w:pPr>
        <w:pStyle w:val="8"/>
        <w:tabs>
          <w:tab w:val="left" w:pos="4018"/>
        </w:tabs>
        <w:spacing w:line="420" w:lineRule="exact"/>
        <w:ind w:firstLine="422" w:firstLineChars="200"/>
        <w:jc w:val="left"/>
        <w:rPr>
          <w:rFonts w:ascii="宋体" w:hAnsi="宋体" w:cs="宋体"/>
          <w:b/>
          <w:szCs w:val="21"/>
        </w:rPr>
      </w:pPr>
      <w:r>
        <w:rPr>
          <w:rFonts w:hint="eastAsia" w:ascii="宋体" w:hAnsi="宋体" w:cs="宋体"/>
          <w:b/>
          <w:szCs w:val="21"/>
        </w:rPr>
        <w:t>三、具体要求</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1、管理制度。供应商应当建立成熟的质量管理体系，建立运维管理制度、运维人员管理制度、档案资料管理制度、现场管理制度、安全管理制度、岗位操作制度、应急预案、车辆管理制度、化验室管理制度、仓库管理制度、内部考核管理制度、异常情况信息报送制度等。</w:t>
      </w:r>
    </w:p>
    <w:p>
      <w:pPr>
        <w:pStyle w:val="8"/>
        <w:tabs>
          <w:tab w:val="left" w:pos="4018"/>
        </w:tabs>
        <w:spacing w:line="420" w:lineRule="exact"/>
        <w:ind w:firstLine="422" w:firstLineChars="200"/>
        <w:jc w:val="left"/>
        <w:rPr>
          <w:rFonts w:ascii="宋体" w:hAnsi="宋体" w:cs="宋体"/>
          <w:bCs/>
          <w:szCs w:val="21"/>
        </w:rPr>
      </w:pPr>
      <w:r>
        <w:rPr>
          <w:rFonts w:hint="eastAsia" w:ascii="宋体" w:hAnsi="宋体" w:cs="宋体"/>
          <w:b/>
          <w:color w:val="FF0000"/>
          <w:szCs w:val="21"/>
        </w:rPr>
        <w:t>▲2、技术人员。配备足够的管理、技术及运维操作人员，人员具体要求如下：</w:t>
      </w:r>
    </w:p>
    <w:p>
      <w:pPr>
        <w:ind w:firstLine="3675" w:firstLineChars="1750"/>
        <w:rPr>
          <w:rFonts w:ascii="宋体" w:hAnsi="宋体" w:cs="宋体"/>
        </w:rPr>
      </w:pPr>
      <w:r>
        <w:rPr>
          <w:rFonts w:hint="eastAsia" w:ascii="宋体" w:hAnsi="宋体" w:cs="宋体"/>
        </w:rPr>
        <w:t>运维人员基本配备表</w:t>
      </w:r>
    </w:p>
    <w:p>
      <w:pPr>
        <w:rPr>
          <w:rFonts w:ascii="宋体" w:hAnsi="宋体" w:cs="宋体"/>
        </w:rPr>
      </w:pPr>
    </w:p>
    <w:tbl>
      <w:tblPr>
        <w:tblStyle w:val="22"/>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256"/>
        <w:gridCol w:w="1314"/>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szCs w:val="22"/>
              </w:rPr>
            </w:pPr>
            <w:r>
              <w:rPr>
                <w:rFonts w:hint="eastAsia" w:ascii="宋体" w:hAnsi="宋体" w:cs="宋体"/>
                <w:szCs w:val="22"/>
              </w:rPr>
              <w:t>序号</w:t>
            </w:r>
          </w:p>
        </w:tc>
        <w:tc>
          <w:tcPr>
            <w:tcW w:w="2256" w:type="dxa"/>
            <w:vAlign w:val="center"/>
          </w:tcPr>
          <w:p>
            <w:pPr>
              <w:jc w:val="center"/>
              <w:rPr>
                <w:rFonts w:ascii="宋体" w:hAnsi="宋体" w:cs="宋体"/>
                <w:szCs w:val="22"/>
              </w:rPr>
            </w:pPr>
            <w:r>
              <w:rPr>
                <w:rFonts w:hint="eastAsia" w:ascii="宋体" w:hAnsi="宋体" w:cs="宋体"/>
                <w:szCs w:val="22"/>
              </w:rPr>
              <w:t>职务</w:t>
            </w:r>
          </w:p>
        </w:tc>
        <w:tc>
          <w:tcPr>
            <w:tcW w:w="1314" w:type="dxa"/>
            <w:vAlign w:val="center"/>
          </w:tcPr>
          <w:p>
            <w:pPr>
              <w:jc w:val="center"/>
              <w:rPr>
                <w:rFonts w:ascii="宋体" w:hAnsi="宋体" w:cs="宋体"/>
                <w:szCs w:val="22"/>
              </w:rPr>
            </w:pPr>
            <w:r>
              <w:rPr>
                <w:rFonts w:hint="eastAsia" w:ascii="宋体" w:hAnsi="宋体" w:cs="宋体"/>
                <w:szCs w:val="22"/>
              </w:rPr>
              <w:t>人数</w:t>
            </w:r>
          </w:p>
        </w:tc>
        <w:tc>
          <w:tcPr>
            <w:tcW w:w="3990" w:type="dxa"/>
            <w:vAlign w:val="center"/>
          </w:tcPr>
          <w:p>
            <w:pPr>
              <w:jc w:val="center"/>
              <w:rPr>
                <w:rFonts w:ascii="宋体" w:hAnsi="宋体" w:cs="宋体"/>
                <w:szCs w:val="22"/>
              </w:rPr>
            </w:pPr>
            <w:r>
              <w:rPr>
                <w:rFonts w:hint="eastAsia" w:ascii="宋体" w:hAnsi="宋体" w:cs="宋体"/>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1</w:t>
            </w:r>
          </w:p>
        </w:tc>
        <w:tc>
          <w:tcPr>
            <w:tcW w:w="2256" w:type="dxa"/>
            <w:vAlign w:val="center"/>
          </w:tcPr>
          <w:p>
            <w:pPr>
              <w:jc w:val="center"/>
              <w:rPr>
                <w:rFonts w:ascii="宋体" w:hAnsi="宋体" w:cs="宋体"/>
              </w:rPr>
            </w:pPr>
            <w:r>
              <w:rPr>
                <w:rFonts w:hint="eastAsia" w:ascii="宋体" w:hAnsi="宋体" w:cs="宋体"/>
              </w:rPr>
              <w:t>项目负责人</w:t>
            </w:r>
          </w:p>
        </w:tc>
        <w:tc>
          <w:tcPr>
            <w:tcW w:w="1314" w:type="dxa"/>
            <w:vAlign w:val="center"/>
          </w:tcPr>
          <w:p>
            <w:pPr>
              <w:jc w:val="center"/>
              <w:rPr>
                <w:rFonts w:ascii="宋体" w:hAnsi="宋体" w:cs="宋体"/>
              </w:rPr>
            </w:pPr>
            <w:r>
              <w:rPr>
                <w:rFonts w:hint="eastAsia" w:ascii="宋体" w:hAnsi="宋体" w:cs="宋体"/>
              </w:rPr>
              <w:t>1</w:t>
            </w:r>
          </w:p>
        </w:tc>
        <w:tc>
          <w:tcPr>
            <w:tcW w:w="3990" w:type="dxa"/>
            <w:vAlign w:val="center"/>
          </w:tcPr>
          <w:p>
            <w:pPr>
              <w:jc w:val="center"/>
              <w:rPr>
                <w:rFonts w:ascii="宋体" w:hAnsi="宋体" w:cs="宋体"/>
              </w:rPr>
            </w:pPr>
            <w:r>
              <w:rPr>
                <w:rFonts w:hint="eastAsia" w:ascii="宋体" w:hAnsi="宋体" w:cs="宋体"/>
              </w:rPr>
              <w:t>副工程师及以上职称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2</w:t>
            </w:r>
          </w:p>
        </w:tc>
        <w:tc>
          <w:tcPr>
            <w:tcW w:w="2256" w:type="dxa"/>
            <w:vAlign w:val="center"/>
          </w:tcPr>
          <w:p>
            <w:pPr>
              <w:jc w:val="center"/>
              <w:rPr>
                <w:rFonts w:ascii="宋体" w:hAnsi="宋体" w:cs="宋体"/>
              </w:rPr>
            </w:pPr>
            <w:r>
              <w:rPr>
                <w:rFonts w:hint="eastAsia" w:ascii="宋体" w:hAnsi="宋体" w:cs="宋体"/>
              </w:rPr>
              <w:t>运维技术负责人</w:t>
            </w:r>
          </w:p>
        </w:tc>
        <w:tc>
          <w:tcPr>
            <w:tcW w:w="1314" w:type="dxa"/>
            <w:vAlign w:val="center"/>
          </w:tcPr>
          <w:p>
            <w:pPr>
              <w:jc w:val="center"/>
              <w:rPr>
                <w:rFonts w:ascii="宋体" w:hAnsi="宋体" w:cs="宋体"/>
              </w:rPr>
            </w:pPr>
            <w:r>
              <w:rPr>
                <w:rFonts w:hint="eastAsia" w:ascii="宋体" w:hAnsi="宋体" w:cs="宋体"/>
              </w:rPr>
              <w:t>1</w:t>
            </w:r>
          </w:p>
        </w:tc>
        <w:tc>
          <w:tcPr>
            <w:tcW w:w="3990" w:type="dxa"/>
            <w:vAlign w:val="center"/>
          </w:tcPr>
          <w:p>
            <w:pPr>
              <w:jc w:val="center"/>
              <w:rPr>
                <w:rFonts w:ascii="宋体" w:hAnsi="宋体" w:cs="宋体"/>
              </w:rPr>
            </w:pPr>
            <w:r>
              <w:rPr>
                <w:rFonts w:hint="eastAsia" w:ascii="宋体" w:hAnsi="宋体" w:cs="宋体"/>
              </w:rPr>
              <w:t>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3</w:t>
            </w:r>
          </w:p>
        </w:tc>
        <w:tc>
          <w:tcPr>
            <w:tcW w:w="2256" w:type="dxa"/>
            <w:vAlign w:val="center"/>
          </w:tcPr>
          <w:p>
            <w:pPr>
              <w:jc w:val="center"/>
              <w:rPr>
                <w:rFonts w:ascii="宋体" w:hAnsi="宋体" w:cs="宋体"/>
              </w:rPr>
            </w:pPr>
            <w:r>
              <w:rPr>
                <w:rFonts w:hint="eastAsia" w:ascii="宋体" w:hAnsi="宋体" w:cs="宋体"/>
              </w:rPr>
              <w:t>化验室负责人</w:t>
            </w:r>
          </w:p>
        </w:tc>
        <w:tc>
          <w:tcPr>
            <w:tcW w:w="1314" w:type="dxa"/>
            <w:vAlign w:val="center"/>
          </w:tcPr>
          <w:p>
            <w:pPr>
              <w:jc w:val="center"/>
              <w:rPr>
                <w:rFonts w:ascii="宋体" w:hAnsi="宋体" w:cs="宋体"/>
              </w:rPr>
            </w:pPr>
            <w:r>
              <w:rPr>
                <w:rFonts w:hint="eastAsia" w:ascii="宋体" w:hAnsi="宋体" w:cs="宋体"/>
              </w:rPr>
              <w:t>1</w:t>
            </w:r>
          </w:p>
        </w:tc>
        <w:tc>
          <w:tcPr>
            <w:tcW w:w="3990" w:type="dxa"/>
            <w:vAlign w:val="center"/>
          </w:tcPr>
          <w:p>
            <w:pPr>
              <w:jc w:val="center"/>
              <w:rPr>
                <w:rFonts w:ascii="宋体" w:hAnsi="宋体" w:cs="宋体"/>
              </w:rPr>
            </w:pPr>
            <w:r>
              <w:rPr>
                <w:rFonts w:hint="eastAsia" w:ascii="宋体" w:hAnsi="宋体" w:cs="宋体"/>
              </w:rPr>
              <w:t>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4</w:t>
            </w:r>
          </w:p>
        </w:tc>
        <w:tc>
          <w:tcPr>
            <w:tcW w:w="2256" w:type="dxa"/>
            <w:vAlign w:val="center"/>
          </w:tcPr>
          <w:p>
            <w:pPr>
              <w:jc w:val="center"/>
              <w:rPr>
                <w:rFonts w:ascii="宋体" w:hAnsi="宋体" w:cs="宋体"/>
              </w:rPr>
            </w:pPr>
            <w:r>
              <w:rPr>
                <w:rFonts w:hint="eastAsia" w:ascii="宋体" w:hAnsi="宋体" w:cs="宋体"/>
              </w:rPr>
              <w:t>信息中心负责人</w:t>
            </w:r>
          </w:p>
        </w:tc>
        <w:tc>
          <w:tcPr>
            <w:tcW w:w="1314" w:type="dxa"/>
            <w:vAlign w:val="center"/>
          </w:tcPr>
          <w:p>
            <w:pPr>
              <w:jc w:val="center"/>
              <w:rPr>
                <w:rFonts w:ascii="宋体" w:hAnsi="宋体" w:cs="宋体"/>
              </w:rPr>
            </w:pPr>
            <w:r>
              <w:rPr>
                <w:rFonts w:hint="eastAsia" w:ascii="宋体" w:hAnsi="宋体" w:cs="宋体"/>
              </w:rPr>
              <w:t>1</w:t>
            </w:r>
          </w:p>
        </w:tc>
        <w:tc>
          <w:tcPr>
            <w:tcW w:w="3990" w:type="dxa"/>
            <w:vAlign w:val="center"/>
          </w:tcPr>
          <w:p>
            <w:pPr>
              <w:jc w:val="center"/>
              <w:rPr>
                <w:rFonts w:ascii="宋体" w:hAnsi="宋体" w:cs="宋体"/>
              </w:rPr>
            </w:pPr>
            <w:r>
              <w:rPr>
                <w:rFonts w:hint="eastAsia" w:ascii="宋体" w:hAnsi="宋体" w:cs="宋体"/>
              </w:rPr>
              <w:t>中级工程师及以上职称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5</w:t>
            </w:r>
          </w:p>
        </w:tc>
        <w:tc>
          <w:tcPr>
            <w:tcW w:w="2256" w:type="dxa"/>
            <w:vAlign w:val="center"/>
          </w:tcPr>
          <w:p>
            <w:pPr>
              <w:jc w:val="center"/>
              <w:rPr>
                <w:rFonts w:ascii="宋体" w:hAnsi="宋体" w:cs="宋体"/>
              </w:rPr>
            </w:pPr>
            <w:r>
              <w:rPr>
                <w:rFonts w:hint="eastAsia" w:ascii="宋体" w:hAnsi="宋体" w:cs="宋体"/>
              </w:rPr>
              <w:t>服务站负责人</w:t>
            </w:r>
          </w:p>
        </w:tc>
        <w:tc>
          <w:tcPr>
            <w:tcW w:w="1314" w:type="dxa"/>
            <w:vAlign w:val="center"/>
          </w:tcPr>
          <w:p>
            <w:pPr>
              <w:jc w:val="center"/>
              <w:rPr>
                <w:rFonts w:ascii="宋体" w:hAnsi="宋体" w:cs="宋体"/>
              </w:rPr>
            </w:pPr>
            <w:r>
              <w:rPr>
                <w:rFonts w:hint="eastAsia" w:ascii="宋体" w:hAnsi="宋体" w:cs="宋体"/>
              </w:rPr>
              <w:t>8</w:t>
            </w:r>
          </w:p>
        </w:tc>
        <w:tc>
          <w:tcPr>
            <w:tcW w:w="3990" w:type="dxa"/>
            <w:vAlign w:val="center"/>
          </w:tcPr>
          <w:p>
            <w:pPr>
              <w:jc w:val="center"/>
              <w:rPr>
                <w:rFonts w:ascii="宋体" w:hAnsi="宋体" w:cs="宋体"/>
              </w:rPr>
            </w:pPr>
            <w:r>
              <w:rPr>
                <w:rFonts w:hint="eastAsia" w:ascii="宋体" w:hAnsi="宋体" w:cs="宋体"/>
              </w:rPr>
              <w:t>年龄在60岁以下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6</w:t>
            </w:r>
          </w:p>
        </w:tc>
        <w:tc>
          <w:tcPr>
            <w:tcW w:w="2256" w:type="dxa"/>
            <w:vAlign w:val="center"/>
          </w:tcPr>
          <w:p>
            <w:pPr>
              <w:jc w:val="center"/>
              <w:rPr>
                <w:rFonts w:ascii="宋体" w:hAnsi="宋体" w:cs="宋体"/>
              </w:rPr>
            </w:pPr>
            <w:r>
              <w:rPr>
                <w:rFonts w:hint="eastAsia" w:ascii="宋体" w:hAnsi="宋体" w:cs="宋体"/>
              </w:rPr>
              <w:t>养护员</w:t>
            </w:r>
          </w:p>
        </w:tc>
        <w:tc>
          <w:tcPr>
            <w:tcW w:w="1314" w:type="dxa"/>
            <w:vAlign w:val="center"/>
          </w:tcPr>
          <w:p>
            <w:pPr>
              <w:jc w:val="center"/>
              <w:rPr>
                <w:rFonts w:ascii="宋体" w:hAnsi="宋体" w:cs="宋体"/>
              </w:rPr>
            </w:pPr>
            <w:r>
              <w:rPr>
                <w:rFonts w:hint="eastAsia" w:ascii="宋体" w:hAnsi="宋体" w:cs="宋体"/>
              </w:rPr>
              <w:t>30</w:t>
            </w:r>
          </w:p>
        </w:tc>
        <w:tc>
          <w:tcPr>
            <w:tcW w:w="3990" w:type="dxa"/>
            <w:vAlign w:val="center"/>
          </w:tcPr>
          <w:p>
            <w:pPr>
              <w:jc w:val="center"/>
              <w:rPr>
                <w:rFonts w:ascii="宋体" w:hAnsi="宋体" w:cs="宋体"/>
              </w:rPr>
            </w:pPr>
            <w:r>
              <w:rPr>
                <w:rFonts w:hint="eastAsia" w:ascii="宋体" w:hAnsi="宋体" w:cs="宋体"/>
              </w:rPr>
              <w:t>经过专业培训的运维养护员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Align w:val="center"/>
          </w:tcPr>
          <w:p>
            <w:pPr>
              <w:jc w:val="center"/>
              <w:rPr>
                <w:rFonts w:ascii="宋体" w:hAnsi="宋体" w:cs="宋体"/>
              </w:rPr>
            </w:pPr>
            <w:r>
              <w:rPr>
                <w:rFonts w:hint="eastAsia" w:ascii="宋体" w:hAnsi="宋体" w:cs="宋体"/>
              </w:rPr>
              <w:t>7</w:t>
            </w:r>
          </w:p>
        </w:tc>
        <w:tc>
          <w:tcPr>
            <w:tcW w:w="2256" w:type="dxa"/>
            <w:vAlign w:val="center"/>
          </w:tcPr>
          <w:p>
            <w:pPr>
              <w:jc w:val="center"/>
              <w:rPr>
                <w:rFonts w:ascii="宋体" w:hAnsi="宋体" w:cs="宋体"/>
              </w:rPr>
            </w:pPr>
            <w:r>
              <w:rPr>
                <w:rFonts w:hint="eastAsia" w:ascii="宋体" w:hAnsi="宋体" w:cs="宋体"/>
              </w:rPr>
              <w:t>其它人员</w:t>
            </w:r>
          </w:p>
        </w:tc>
        <w:tc>
          <w:tcPr>
            <w:tcW w:w="1314" w:type="dxa"/>
            <w:vAlign w:val="center"/>
          </w:tcPr>
          <w:p>
            <w:pPr>
              <w:jc w:val="center"/>
              <w:rPr>
                <w:rFonts w:ascii="宋体" w:hAnsi="宋体" w:cs="宋体"/>
              </w:rPr>
            </w:pPr>
          </w:p>
        </w:tc>
        <w:tc>
          <w:tcPr>
            <w:tcW w:w="3990" w:type="dxa"/>
            <w:vAlign w:val="center"/>
          </w:tcPr>
          <w:p>
            <w:pPr>
              <w:jc w:val="center"/>
              <w:rPr>
                <w:rFonts w:ascii="宋体" w:hAnsi="宋体" w:cs="宋体"/>
              </w:rPr>
            </w:pPr>
            <w:r>
              <w:rPr>
                <w:rFonts w:hint="eastAsia" w:ascii="宋体" w:hAnsi="宋体" w:cs="宋体"/>
              </w:rPr>
              <w:t>按需要配备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8460" w:type="dxa"/>
            <w:gridSpan w:val="4"/>
            <w:vAlign w:val="center"/>
          </w:tcPr>
          <w:p>
            <w:pPr>
              <w:rPr>
                <w:rFonts w:ascii="宋体" w:hAnsi="宋体" w:cs="宋体"/>
                <w:b/>
                <w:bCs/>
                <w:color w:val="FF0000"/>
                <w:szCs w:val="22"/>
              </w:rPr>
            </w:pPr>
            <w:r>
              <w:rPr>
                <w:rFonts w:hint="eastAsia" w:ascii="宋体" w:hAnsi="宋体" w:cs="宋体"/>
                <w:b/>
                <w:bCs/>
                <w:color w:val="FF0000"/>
                <w:szCs w:val="22"/>
              </w:rPr>
              <w:t>备注：1）以上1-6项职务中，同一人员不允许担任两个或两个以上职务，若有重复，则做投标无效处理。</w:t>
            </w:r>
          </w:p>
          <w:p>
            <w:pPr>
              <w:rPr>
                <w:rFonts w:ascii="宋体" w:hAnsi="宋体" w:cs="宋体"/>
                <w:b/>
                <w:bCs/>
                <w:color w:val="FF0000"/>
                <w:szCs w:val="22"/>
              </w:rPr>
            </w:pPr>
            <w:r>
              <w:rPr>
                <w:rFonts w:hint="eastAsia" w:ascii="宋体" w:hAnsi="宋体" w:cs="宋体"/>
                <w:b/>
                <w:bCs/>
                <w:color w:val="FF0000"/>
                <w:szCs w:val="22"/>
              </w:rPr>
              <w:t>2）其它人员可按项目实际需求或按评标办法配备，可由1-6项人员兼职。</w:t>
            </w:r>
          </w:p>
          <w:p>
            <w:pPr>
              <w:rPr>
                <w:rFonts w:ascii="宋体" w:hAnsi="宋体" w:cs="宋体"/>
                <w:b/>
                <w:bCs/>
                <w:color w:val="FF0000"/>
                <w:szCs w:val="22"/>
              </w:rPr>
            </w:pPr>
            <w:r>
              <w:rPr>
                <w:rFonts w:hint="eastAsia" w:ascii="宋体" w:hAnsi="宋体" w:cs="宋体"/>
                <w:b/>
                <w:bCs/>
                <w:color w:val="FF0000"/>
                <w:szCs w:val="22"/>
              </w:rPr>
              <w:t>3）所有人员均需提供近3个月连续社保。（1-6月任意连续三月即可）</w:t>
            </w:r>
          </w:p>
          <w:p>
            <w:pPr>
              <w:rPr>
                <w:rFonts w:ascii="宋体" w:hAnsi="宋体" w:cs="宋体"/>
              </w:rPr>
            </w:pPr>
            <w:r>
              <w:rPr>
                <w:rFonts w:hint="eastAsia" w:ascii="宋体" w:hAnsi="宋体" w:cs="宋体"/>
                <w:b/>
                <w:bCs/>
                <w:color w:val="FF0000"/>
                <w:szCs w:val="22"/>
              </w:rPr>
              <w:t>4）所有人员应在合同签订后3天内到位，同时为所有工作人员（包含签订合同为劳务合同的工作人员）办理人身意外伤害保险等各项相关保险。</w:t>
            </w:r>
          </w:p>
        </w:tc>
      </w:tr>
    </w:tbl>
    <w:p>
      <w:pPr>
        <w:pStyle w:val="8"/>
        <w:tabs>
          <w:tab w:val="left" w:pos="4018"/>
        </w:tabs>
        <w:spacing w:line="420" w:lineRule="exact"/>
        <w:ind w:firstLine="422" w:firstLineChars="200"/>
        <w:jc w:val="left"/>
        <w:rPr>
          <w:rFonts w:ascii="宋体" w:hAnsi="宋体" w:cs="宋体"/>
          <w:bCs/>
          <w:szCs w:val="21"/>
        </w:rPr>
      </w:pPr>
      <w:r>
        <w:rPr>
          <w:rFonts w:hint="eastAsia" w:ascii="宋体" w:hAnsi="宋体" w:cs="宋体"/>
          <w:b/>
          <w:color w:val="FF0000"/>
          <w:szCs w:val="21"/>
        </w:rPr>
        <w:t>▲3、服务能力。供应商应中标后在安吉县区域范围内成立分公司，设立专门的办公场所。</w:t>
      </w:r>
      <w:r>
        <w:rPr>
          <w:rFonts w:hint="eastAsia" w:ascii="宋体" w:hAnsi="宋体" w:cs="宋体"/>
          <w:bCs/>
          <w:szCs w:val="21"/>
        </w:rPr>
        <w:t>安吉分公司须建立企业运维平台，同时建立符合标准的化验室，具体要求如下；</w:t>
      </w:r>
    </w:p>
    <w:tbl>
      <w:tblPr>
        <w:tblStyle w:val="22"/>
        <w:tblW w:w="5000" w:type="pct"/>
        <w:tblInd w:w="0" w:type="dxa"/>
        <w:tblLayout w:type="autofit"/>
        <w:tblCellMar>
          <w:top w:w="0" w:type="dxa"/>
          <w:left w:w="108" w:type="dxa"/>
          <w:bottom w:w="0" w:type="dxa"/>
          <w:right w:w="108" w:type="dxa"/>
        </w:tblCellMar>
      </w:tblPr>
      <w:tblGrid>
        <w:gridCol w:w="2781"/>
        <w:gridCol w:w="3222"/>
        <w:gridCol w:w="3057"/>
      </w:tblGrid>
      <w:tr>
        <w:tblPrEx>
          <w:tblCellMar>
            <w:top w:w="0" w:type="dxa"/>
            <w:left w:w="108" w:type="dxa"/>
            <w:bottom w:w="0" w:type="dxa"/>
            <w:right w:w="108" w:type="dxa"/>
          </w:tblCellMar>
        </w:tblPrEx>
        <w:trPr>
          <w:trHeight w:val="352" w:hRule="atLeast"/>
        </w:trPr>
        <w:tc>
          <w:tcPr>
            <w:tcW w:w="1535"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项目</w:t>
            </w:r>
          </w:p>
        </w:tc>
        <w:tc>
          <w:tcPr>
            <w:tcW w:w="1778" w:type="pct"/>
            <w:tcBorders>
              <w:top w:val="single" w:color="auto" w:sz="4" w:space="0"/>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具体要求</w:t>
            </w:r>
          </w:p>
        </w:tc>
        <w:tc>
          <w:tcPr>
            <w:tcW w:w="1687" w:type="pct"/>
            <w:tcBorders>
              <w:top w:val="single" w:color="auto" w:sz="4" w:space="0"/>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备注</w:t>
            </w:r>
          </w:p>
        </w:tc>
      </w:tr>
      <w:tr>
        <w:tblPrEx>
          <w:tblCellMar>
            <w:top w:w="0" w:type="dxa"/>
            <w:left w:w="108" w:type="dxa"/>
            <w:bottom w:w="0" w:type="dxa"/>
            <w:right w:w="108" w:type="dxa"/>
          </w:tblCellMar>
        </w:tblPrEx>
        <w:trPr>
          <w:trHeight w:val="620" w:hRule="atLeast"/>
        </w:trPr>
        <w:tc>
          <w:tcPr>
            <w:tcW w:w="1535"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企业运维平台</w:t>
            </w:r>
          </w:p>
        </w:tc>
        <w:tc>
          <w:tcPr>
            <w:tcW w:w="1778" w:type="pct"/>
            <w:tcBorders>
              <w:top w:val="nil"/>
              <w:left w:val="nil"/>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包含但不仅限于基础信息库、人员管理、内部规范、权限管理、设施信息管理、运维工作管理、政策导则、信息报送、报表管理9大功能模块</w:t>
            </w:r>
          </w:p>
        </w:tc>
        <w:tc>
          <w:tcPr>
            <w:tcW w:w="168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
                <w:bCs/>
                <w:szCs w:val="21"/>
              </w:rPr>
            </w:pPr>
            <w:r>
              <w:rPr>
                <w:rFonts w:hint="eastAsia" w:ascii="宋体" w:hAnsi="宋体" w:cs="宋体"/>
                <w:bCs/>
                <w:szCs w:val="21"/>
              </w:rPr>
              <w:t>具体要求见第6点</w:t>
            </w:r>
          </w:p>
        </w:tc>
      </w:tr>
      <w:tr>
        <w:tblPrEx>
          <w:tblCellMar>
            <w:top w:w="0" w:type="dxa"/>
            <w:left w:w="108" w:type="dxa"/>
            <w:bottom w:w="0" w:type="dxa"/>
            <w:right w:w="108" w:type="dxa"/>
          </w:tblCellMar>
        </w:tblPrEx>
        <w:trPr>
          <w:trHeight w:val="460" w:hRule="atLeast"/>
        </w:trPr>
        <w:tc>
          <w:tcPr>
            <w:tcW w:w="1535"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化验室面积</w:t>
            </w:r>
          </w:p>
        </w:tc>
        <w:tc>
          <w:tcPr>
            <w:tcW w:w="177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大于100平方米</w:t>
            </w:r>
          </w:p>
        </w:tc>
        <w:tc>
          <w:tcPr>
            <w:tcW w:w="1687"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实验室必须在安吉县域内</w:t>
            </w:r>
          </w:p>
        </w:tc>
      </w:tr>
      <w:tr>
        <w:tblPrEx>
          <w:tblCellMar>
            <w:top w:w="0" w:type="dxa"/>
            <w:left w:w="108" w:type="dxa"/>
            <w:bottom w:w="0" w:type="dxa"/>
            <w:right w:w="108" w:type="dxa"/>
          </w:tblCellMar>
        </w:tblPrEx>
        <w:trPr>
          <w:trHeight w:val="1253" w:hRule="atLeast"/>
        </w:trPr>
        <w:tc>
          <w:tcPr>
            <w:tcW w:w="1535"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化验室具备检测能力</w:t>
            </w:r>
          </w:p>
        </w:tc>
        <w:tc>
          <w:tcPr>
            <w:tcW w:w="177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PH，悬浮物（SS），化学需氧量（CODcr），总磷（TP），总氮（TN），氨氮（NH3-N），动植物油，粪大肠菌群</w:t>
            </w:r>
          </w:p>
        </w:tc>
        <w:tc>
          <w:tcPr>
            <w:tcW w:w="1687"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粪大肠菌群可委托具有专业资质认证的第三方进行化验</w:t>
            </w:r>
          </w:p>
        </w:tc>
      </w:tr>
      <w:tr>
        <w:tblPrEx>
          <w:tblCellMar>
            <w:top w:w="0" w:type="dxa"/>
            <w:left w:w="108" w:type="dxa"/>
            <w:bottom w:w="0" w:type="dxa"/>
            <w:right w:w="108" w:type="dxa"/>
          </w:tblCellMar>
        </w:tblPrEx>
        <w:trPr>
          <w:trHeight w:val="270" w:hRule="atLeast"/>
        </w:trPr>
        <w:tc>
          <w:tcPr>
            <w:tcW w:w="1535"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化验室工具</w:t>
            </w:r>
          </w:p>
        </w:tc>
        <w:tc>
          <w:tcPr>
            <w:tcW w:w="177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取样装置5组及以上</w:t>
            </w:r>
          </w:p>
        </w:tc>
        <w:tc>
          <w:tcPr>
            <w:tcW w:w="1687"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p>
        </w:tc>
      </w:tr>
    </w:tbl>
    <w:p>
      <w:pPr>
        <w:pStyle w:val="8"/>
        <w:tabs>
          <w:tab w:val="left" w:pos="4018"/>
        </w:tabs>
        <w:spacing w:line="420" w:lineRule="exact"/>
        <w:ind w:firstLine="422" w:firstLineChars="200"/>
        <w:jc w:val="left"/>
        <w:rPr>
          <w:rFonts w:ascii="宋体" w:hAnsi="宋体" w:cs="宋体"/>
          <w:b/>
          <w:bCs/>
          <w:szCs w:val="21"/>
        </w:rPr>
      </w:pPr>
      <w:r>
        <w:rPr>
          <w:rFonts w:hint="eastAsia" w:ascii="宋体" w:hAnsi="宋体" w:cs="宋体"/>
          <w:b/>
          <w:bCs/>
          <w:szCs w:val="21"/>
        </w:rPr>
        <w:t>注：供应商应在中标后30天内完成企业运维平台及化验室建设，并确保化验室建设期间终端水质检测频次仍能满足要求。化验室运行及化验操作必须符合国家各项法律法规政策导则要求，化验室运行过程中所采购的或产生危废物必须按照国家各项法律法规政策导则要求要求予以处理，若发现供应商化验室运行违法违规的，</w:t>
      </w:r>
      <w:r>
        <w:rPr>
          <w:rFonts w:hint="eastAsia" w:ascii="宋体" w:hAnsi="宋体" w:cs="宋体"/>
          <w:b/>
          <w:szCs w:val="21"/>
        </w:rPr>
        <w:t>采购人有权终止本项目合同并追究法律责任</w:t>
      </w:r>
      <w:r>
        <w:rPr>
          <w:rFonts w:hint="eastAsia" w:ascii="宋体" w:hAnsi="宋体" w:cs="宋体"/>
          <w:b/>
          <w:bCs/>
          <w:szCs w:val="21"/>
        </w:rPr>
        <w:t>。化验室检测化验数据应当准确，主管部门不定期抽检对比检测数据，化验数据存在明显偏差的，供应商应当在限期内整改。</w:t>
      </w:r>
    </w:p>
    <w:p>
      <w:pPr>
        <w:pStyle w:val="8"/>
        <w:tabs>
          <w:tab w:val="left" w:pos="4018"/>
        </w:tabs>
        <w:spacing w:line="420" w:lineRule="exact"/>
        <w:ind w:firstLine="422" w:firstLineChars="200"/>
        <w:jc w:val="left"/>
        <w:rPr>
          <w:rFonts w:ascii="宋体" w:hAnsi="宋体" w:cs="宋体"/>
          <w:bCs/>
          <w:szCs w:val="21"/>
        </w:rPr>
      </w:pPr>
      <w:r>
        <w:rPr>
          <w:rFonts w:hint="eastAsia" w:ascii="宋体" w:hAnsi="宋体" w:cs="宋体"/>
          <w:b/>
          <w:szCs w:val="21"/>
        </w:rPr>
        <w:t>4、车辆及设备。</w:t>
      </w:r>
      <w:r>
        <w:rPr>
          <w:rFonts w:hint="eastAsia" w:ascii="宋体" w:hAnsi="宋体" w:cs="宋体"/>
          <w:bCs/>
          <w:szCs w:val="21"/>
        </w:rPr>
        <w:t>配备足够的运维车辆、工具等各类设备，具体要求如下：</w:t>
      </w:r>
    </w:p>
    <w:tbl>
      <w:tblPr>
        <w:tblStyle w:val="22"/>
        <w:tblW w:w="5000" w:type="pct"/>
        <w:tblInd w:w="0" w:type="dxa"/>
        <w:tblLayout w:type="autofit"/>
        <w:tblCellMar>
          <w:top w:w="0" w:type="dxa"/>
          <w:left w:w="108" w:type="dxa"/>
          <w:bottom w:w="0" w:type="dxa"/>
          <w:right w:w="108" w:type="dxa"/>
        </w:tblCellMar>
      </w:tblPr>
      <w:tblGrid>
        <w:gridCol w:w="2781"/>
        <w:gridCol w:w="3222"/>
        <w:gridCol w:w="1746"/>
        <w:gridCol w:w="1311"/>
      </w:tblGrid>
      <w:tr>
        <w:tblPrEx>
          <w:tblCellMar>
            <w:top w:w="0" w:type="dxa"/>
            <w:left w:w="108" w:type="dxa"/>
            <w:bottom w:w="0" w:type="dxa"/>
            <w:right w:w="108" w:type="dxa"/>
          </w:tblCellMar>
        </w:tblPrEx>
        <w:trPr>
          <w:trHeight w:val="270" w:hRule="atLeast"/>
        </w:trPr>
        <w:tc>
          <w:tcPr>
            <w:tcW w:w="1534"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项目</w:t>
            </w:r>
          </w:p>
        </w:tc>
        <w:tc>
          <w:tcPr>
            <w:tcW w:w="1777" w:type="pct"/>
            <w:tcBorders>
              <w:top w:val="single" w:color="auto" w:sz="4" w:space="0"/>
              <w:left w:val="nil"/>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具体要求</w:t>
            </w:r>
          </w:p>
        </w:tc>
        <w:tc>
          <w:tcPr>
            <w:tcW w:w="963" w:type="pct"/>
            <w:tcBorders>
              <w:top w:val="single" w:color="auto" w:sz="4" w:space="0"/>
              <w:left w:val="nil"/>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数量</w:t>
            </w:r>
          </w:p>
        </w:tc>
        <w:tc>
          <w:tcPr>
            <w:tcW w:w="723"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r>
              <w:rPr>
                <w:rFonts w:hint="eastAsia" w:ascii="宋体" w:hAnsi="宋体" w:cs="宋体"/>
                <w:bCs/>
                <w:szCs w:val="21"/>
              </w:rPr>
              <w:t>备注</w:t>
            </w:r>
          </w:p>
        </w:tc>
      </w:tr>
      <w:tr>
        <w:tblPrEx>
          <w:tblCellMar>
            <w:top w:w="0" w:type="dxa"/>
            <w:left w:w="108" w:type="dxa"/>
            <w:bottom w:w="0" w:type="dxa"/>
            <w:right w:w="108" w:type="dxa"/>
          </w:tblCellMar>
        </w:tblPrEx>
        <w:trPr>
          <w:trHeight w:val="270" w:hRule="atLeast"/>
        </w:trPr>
        <w:tc>
          <w:tcPr>
            <w:tcW w:w="1534" w:type="pct"/>
            <w:vMerge w:val="restar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运维车辆</w:t>
            </w:r>
          </w:p>
          <w:p>
            <w:pPr>
              <w:pStyle w:val="8"/>
              <w:tabs>
                <w:tab w:val="left" w:pos="4018"/>
              </w:tabs>
              <w:spacing w:line="280" w:lineRule="exact"/>
              <w:jc w:val="center"/>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汽车</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10辆及以上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540" w:hRule="atLeast"/>
        </w:trPr>
        <w:tc>
          <w:tcPr>
            <w:tcW w:w="1534" w:type="pct"/>
            <w:vMerge w:val="continue"/>
            <w:tcBorders>
              <w:top w:val="nil"/>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吸污车（至少1辆4吨及以上）</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3辆及以上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540" w:hRule="atLeast"/>
        </w:trPr>
        <w:tc>
          <w:tcPr>
            <w:tcW w:w="1534" w:type="pct"/>
            <w:vMerge w:val="continue"/>
            <w:tcBorders>
              <w:top w:val="nil"/>
              <w:left w:val="single" w:color="auto" w:sz="4" w:space="0"/>
              <w:bottom w:val="single" w:color="auto"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管道冲洗车</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2辆及以上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270" w:hRule="atLeast"/>
        </w:trPr>
        <w:tc>
          <w:tcPr>
            <w:tcW w:w="1534" w:type="pct"/>
            <w:vMerge w:val="restart"/>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运维工器具</w:t>
            </w:r>
          </w:p>
          <w:p>
            <w:pPr>
              <w:pStyle w:val="8"/>
              <w:tabs>
                <w:tab w:val="left" w:pos="4018"/>
              </w:tabs>
              <w:spacing w:line="280" w:lineRule="exact"/>
              <w:jc w:val="center"/>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CCTV管道检测仪</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1套及以上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810" w:hRule="atLeast"/>
        </w:trPr>
        <w:tc>
          <w:tcPr>
            <w:tcW w:w="1534" w:type="pct"/>
            <w:vMerge w:val="continue"/>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小型管道疏通车</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2辆及以上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270" w:hRule="atLeast"/>
        </w:trPr>
        <w:tc>
          <w:tcPr>
            <w:tcW w:w="1534" w:type="pct"/>
            <w:vMerge w:val="continue"/>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管道内窥镜</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1套及以上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1080" w:hRule="atLeast"/>
        </w:trPr>
        <w:tc>
          <w:tcPr>
            <w:tcW w:w="1534" w:type="pct"/>
            <w:vMerge w:val="continue"/>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移动水质检测设备（至少具备检测化学需氧量、总磷、氨氮三项能力）</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2套及以上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270" w:hRule="atLeast"/>
        </w:trPr>
        <w:tc>
          <w:tcPr>
            <w:tcW w:w="1534" w:type="pct"/>
            <w:vMerge w:val="continue"/>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毒气检测仪</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8套及以上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r>
        <w:tblPrEx>
          <w:tblCellMar>
            <w:top w:w="0" w:type="dxa"/>
            <w:left w:w="108" w:type="dxa"/>
            <w:bottom w:w="0" w:type="dxa"/>
            <w:right w:w="108" w:type="dxa"/>
          </w:tblCellMar>
        </w:tblPrEx>
        <w:trPr>
          <w:trHeight w:val="270" w:hRule="atLeast"/>
        </w:trPr>
        <w:tc>
          <w:tcPr>
            <w:tcW w:w="1534" w:type="pct"/>
            <w:vMerge w:val="continue"/>
            <w:tcBorders>
              <w:top w:val="nil"/>
              <w:left w:val="single" w:color="auto" w:sz="4" w:space="0"/>
              <w:bottom w:val="single" w:color="000000" w:sz="4" w:space="0"/>
              <w:right w:val="single" w:color="auto" w:sz="4" w:space="0"/>
            </w:tcBorders>
            <w:vAlign w:val="center"/>
          </w:tcPr>
          <w:p>
            <w:pPr>
              <w:pStyle w:val="8"/>
              <w:tabs>
                <w:tab w:val="left" w:pos="4018"/>
              </w:tabs>
              <w:spacing w:line="280" w:lineRule="exact"/>
              <w:rPr>
                <w:rFonts w:ascii="宋体" w:hAnsi="宋体" w:cs="宋体"/>
                <w:bCs/>
                <w:szCs w:val="21"/>
              </w:rPr>
            </w:pPr>
          </w:p>
        </w:tc>
        <w:tc>
          <w:tcPr>
            <w:tcW w:w="1777"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移动供电设备</w:t>
            </w:r>
          </w:p>
        </w:tc>
        <w:tc>
          <w:tcPr>
            <w:tcW w:w="963" w:type="pct"/>
            <w:tcBorders>
              <w:top w:val="nil"/>
              <w:left w:val="nil"/>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1套及以上</w:t>
            </w:r>
          </w:p>
        </w:tc>
        <w:tc>
          <w:tcPr>
            <w:tcW w:w="723" w:type="pct"/>
            <w:tcBorders>
              <w:top w:val="nil"/>
              <w:left w:val="single" w:color="auto" w:sz="4" w:space="0"/>
              <w:bottom w:val="single" w:color="auto" w:sz="4" w:space="0"/>
              <w:right w:val="single" w:color="auto" w:sz="4" w:space="0"/>
            </w:tcBorders>
            <w:vAlign w:val="center"/>
          </w:tcPr>
          <w:p>
            <w:pPr>
              <w:pStyle w:val="8"/>
              <w:tabs>
                <w:tab w:val="left" w:pos="4018"/>
              </w:tabs>
              <w:spacing w:line="280" w:lineRule="exact"/>
              <w:jc w:val="left"/>
              <w:rPr>
                <w:rFonts w:ascii="宋体" w:hAnsi="宋体" w:cs="宋体"/>
                <w:bCs/>
                <w:szCs w:val="21"/>
              </w:rPr>
            </w:pPr>
          </w:p>
        </w:tc>
      </w:tr>
    </w:tbl>
    <w:p>
      <w:pPr>
        <w:pStyle w:val="8"/>
        <w:tabs>
          <w:tab w:val="left" w:pos="4018"/>
        </w:tabs>
        <w:spacing w:line="420" w:lineRule="exact"/>
        <w:ind w:firstLine="422" w:firstLineChars="200"/>
        <w:jc w:val="left"/>
        <w:rPr>
          <w:rFonts w:ascii="宋体" w:hAnsi="宋体" w:cs="宋体"/>
          <w:b/>
          <w:bCs/>
          <w:color w:val="0000FF"/>
          <w:szCs w:val="21"/>
        </w:rPr>
      </w:pPr>
      <w:r>
        <w:rPr>
          <w:rFonts w:hint="eastAsia" w:ascii="宋体" w:hAnsi="宋体" w:cs="宋体"/>
          <w:b/>
          <w:bCs/>
          <w:szCs w:val="21"/>
        </w:rPr>
        <w:t>注：上表中所要求的运维车辆、工具等各类设备的最低数量要求，供应商应按以上设备编制机械配备表加盖单位公章编入投标文件；超出最低数量部分的、供应商可在投标文件中承诺配备到位运维车辆、工具等各类设备数量，上述运维车辆、工具需在合同签订后10天内配备到位。</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5、按照半小时服务圈设置运维服务站，根据实际需求设置巡查小组，具体要求如下：</w:t>
      </w:r>
    </w:p>
    <w:tbl>
      <w:tblPr>
        <w:tblStyle w:val="22"/>
        <w:tblW w:w="5000" w:type="pct"/>
        <w:tblInd w:w="0" w:type="dxa"/>
        <w:tblLayout w:type="autofit"/>
        <w:tblCellMar>
          <w:top w:w="0" w:type="dxa"/>
          <w:left w:w="108" w:type="dxa"/>
          <w:bottom w:w="0" w:type="dxa"/>
          <w:right w:w="108" w:type="dxa"/>
        </w:tblCellMar>
      </w:tblPr>
      <w:tblGrid>
        <w:gridCol w:w="2080"/>
        <w:gridCol w:w="2410"/>
        <w:gridCol w:w="2285"/>
        <w:gridCol w:w="2285"/>
      </w:tblGrid>
      <w:tr>
        <w:tblPrEx>
          <w:tblCellMar>
            <w:top w:w="0" w:type="dxa"/>
            <w:left w:w="108" w:type="dxa"/>
            <w:bottom w:w="0" w:type="dxa"/>
            <w:right w:w="108" w:type="dxa"/>
          </w:tblCellMar>
        </w:tblPrEx>
        <w:trPr>
          <w:trHeight w:val="270" w:hRule="atLeast"/>
        </w:trPr>
        <w:tc>
          <w:tcPr>
            <w:tcW w:w="11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133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内容</w:t>
            </w:r>
          </w:p>
        </w:tc>
        <w:tc>
          <w:tcPr>
            <w:tcW w:w="126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具体要求</w:t>
            </w:r>
          </w:p>
        </w:tc>
        <w:tc>
          <w:tcPr>
            <w:tcW w:w="126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1080" w:hRule="atLeast"/>
        </w:trPr>
        <w:tc>
          <w:tcPr>
            <w:tcW w:w="114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单个服务站设置</w:t>
            </w:r>
          </w:p>
        </w:tc>
        <w:tc>
          <w:tcPr>
            <w:tcW w:w="133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点位和场所面积</w:t>
            </w:r>
          </w:p>
        </w:tc>
        <w:tc>
          <w:tcPr>
            <w:tcW w:w="12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按照半小时服务圈设置点位，办公面积40平方米及以上（含仓库）</w:t>
            </w:r>
          </w:p>
        </w:tc>
        <w:tc>
          <w:tcPr>
            <w:tcW w:w="12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540" w:hRule="atLeast"/>
        </w:trPr>
        <w:tc>
          <w:tcPr>
            <w:tcW w:w="1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3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服务站负责人</w:t>
            </w:r>
          </w:p>
        </w:tc>
        <w:tc>
          <w:tcPr>
            <w:tcW w:w="126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具备两年及以上运维管理经验</w:t>
            </w:r>
          </w:p>
        </w:tc>
        <w:tc>
          <w:tcPr>
            <w:tcW w:w="126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1名</w:t>
            </w:r>
          </w:p>
        </w:tc>
      </w:tr>
      <w:tr>
        <w:tblPrEx>
          <w:tblCellMar>
            <w:top w:w="0" w:type="dxa"/>
            <w:left w:w="108" w:type="dxa"/>
            <w:bottom w:w="0" w:type="dxa"/>
            <w:right w:w="108" w:type="dxa"/>
          </w:tblCellMar>
        </w:tblPrEx>
        <w:trPr>
          <w:trHeight w:val="270" w:hRule="atLeast"/>
        </w:trPr>
        <w:tc>
          <w:tcPr>
            <w:tcW w:w="1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养护小组设置</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按8个设施/组/天</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组数按需配备</w:t>
            </w:r>
          </w:p>
        </w:tc>
      </w:tr>
      <w:tr>
        <w:tblPrEx>
          <w:tblCellMar>
            <w:top w:w="0" w:type="dxa"/>
            <w:left w:w="108" w:type="dxa"/>
            <w:bottom w:w="0" w:type="dxa"/>
            <w:right w:w="108" w:type="dxa"/>
          </w:tblCellMar>
        </w:tblPrEx>
        <w:trPr>
          <w:trHeight w:val="270" w:hRule="atLeast"/>
        </w:trPr>
        <w:tc>
          <w:tcPr>
            <w:tcW w:w="1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养护小组人员</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经过专业技术培训</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2名及以上/组</w:t>
            </w:r>
          </w:p>
        </w:tc>
      </w:tr>
      <w:tr>
        <w:tblPrEx>
          <w:tblCellMar>
            <w:top w:w="0" w:type="dxa"/>
            <w:left w:w="108" w:type="dxa"/>
            <w:bottom w:w="0" w:type="dxa"/>
            <w:right w:w="108" w:type="dxa"/>
          </w:tblCellMar>
        </w:tblPrEx>
        <w:trPr>
          <w:trHeight w:val="270" w:hRule="atLeast"/>
        </w:trPr>
        <w:tc>
          <w:tcPr>
            <w:tcW w:w="1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车辆</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小型货车或皮卡车等</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2辆及以上</w:t>
            </w:r>
          </w:p>
        </w:tc>
      </w:tr>
      <w:tr>
        <w:tblPrEx>
          <w:tblCellMar>
            <w:top w:w="0" w:type="dxa"/>
            <w:left w:w="108" w:type="dxa"/>
            <w:bottom w:w="0" w:type="dxa"/>
            <w:right w:w="108" w:type="dxa"/>
          </w:tblCellMar>
        </w:tblPrEx>
        <w:trPr>
          <w:trHeight w:val="270" w:hRule="atLeast"/>
        </w:trPr>
        <w:tc>
          <w:tcPr>
            <w:tcW w:w="114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3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工具与配件</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各类运维所需配件</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按需配备</w:t>
            </w:r>
          </w:p>
        </w:tc>
      </w:tr>
      <w:tr>
        <w:tblPrEx>
          <w:tblCellMar>
            <w:top w:w="0" w:type="dxa"/>
            <w:left w:w="108" w:type="dxa"/>
            <w:bottom w:w="0" w:type="dxa"/>
            <w:right w:w="108" w:type="dxa"/>
          </w:tblCellMar>
        </w:tblPrEx>
        <w:trPr>
          <w:trHeight w:val="540" w:hRule="atLeast"/>
        </w:trPr>
        <w:tc>
          <w:tcPr>
            <w:tcW w:w="114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巡查小组</w:t>
            </w:r>
          </w:p>
        </w:tc>
        <w:tc>
          <w:tcPr>
            <w:tcW w:w="13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巡查小组配备</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养护人员，电工及其他专业操作人员</w:t>
            </w:r>
          </w:p>
        </w:tc>
        <w:tc>
          <w:tcPr>
            <w:tcW w:w="126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3名及以上/组</w:t>
            </w:r>
          </w:p>
        </w:tc>
      </w:tr>
    </w:tbl>
    <w:p>
      <w:pPr>
        <w:pStyle w:val="8"/>
        <w:tabs>
          <w:tab w:val="left" w:pos="4018"/>
        </w:tabs>
        <w:spacing w:line="420" w:lineRule="exact"/>
        <w:ind w:firstLine="420" w:firstLineChars="200"/>
        <w:jc w:val="left"/>
        <w:rPr>
          <w:rFonts w:ascii="宋体" w:hAnsi="宋体" w:cs="宋体"/>
          <w:szCs w:val="21"/>
        </w:rPr>
      </w:pPr>
      <w:r>
        <w:rPr>
          <w:rFonts w:hint="eastAsia" w:ascii="宋体" w:hAnsi="宋体" w:cs="宋体"/>
          <w:szCs w:val="21"/>
        </w:rPr>
        <w:t>6、企业运维平台（软件）</w:t>
      </w:r>
    </w:p>
    <w:p>
      <w:pPr>
        <w:pStyle w:val="8"/>
        <w:tabs>
          <w:tab w:val="left" w:pos="4018"/>
        </w:tabs>
        <w:spacing w:line="420" w:lineRule="exact"/>
        <w:ind w:firstLine="422" w:firstLineChars="200"/>
        <w:jc w:val="left"/>
        <w:rPr>
          <w:rFonts w:ascii="宋体" w:hAnsi="宋体" w:cs="宋体"/>
          <w:szCs w:val="21"/>
        </w:rPr>
      </w:pPr>
      <w:r>
        <w:rPr>
          <w:rFonts w:hint="eastAsia" w:ascii="宋体" w:hAnsi="宋体" w:cs="宋体"/>
          <w:b/>
          <w:color w:val="FF0000"/>
          <w:szCs w:val="21"/>
        </w:rPr>
        <w:t>▲运维平台（软件）应当包含但不仅限于基础信息库、人员管理、内部规范、权限管理、设施信息管理、运维工作管理、政策导则、信息报送、报表管理9大功能模块，同时具备下述功能，</w:t>
      </w:r>
      <w:r>
        <w:rPr>
          <w:rFonts w:hint="eastAsia" w:ascii="宋体" w:hAnsi="宋体" w:cs="宋体"/>
          <w:b/>
          <w:color w:val="FF0000"/>
          <w:kern w:val="0"/>
          <w:szCs w:val="21"/>
        </w:rPr>
        <w:t>需确保企业运维平台与现有的终端、省市县各级监管平台数据传输，确保端口与省、市、县平台无缝对接。</w:t>
      </w:r>
      <w:r>
        <w:rPr>
          <w:rFonts w:hint="eastAsia" w:ascii="宋体" w:hAnsi="宋体" w:cs="宋体"/>
          <w:b/>
          <w:bCs/>
          <w:szCs w:val="21"/>
        </w:rPr>
        <w:t>运维平台（软件）运行过程中，采购人如有新需求，则需要对其模块进行增加，并对软件进行优化，费用不另行增加。</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6.1、基础信息库功能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企业运维平台（软件）必须可以对片区内所有农村生活污水处理设施基础信息进行存档并进行数据化管理。所有设施、接户、管理人员、基础信息等资料均可在平台软件中进行查询。</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6.2、人员管理功能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企业运维平台（软件）可以对站点维护人员考勤维护情况自动进行记录、统计与分析。考勤记录包括维护人员到达时间、在现场停留时间、离开时间、每月巡检次数等信息。平台支持远程站点打分功能，即管理人员可根据展示平台考勤记录及照片记录、实时数据等信息对站点维护情况进行打分，并可以查看运维人员每日运维轨迹。可以对平台使用人员进行信息维护，比如姓名、手机号码、性别、所属部门等信息。</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6.3、内部规范功能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运维平台（软件）能存储运维企业内部管理规范，设定考核机制，分析平台存储数据，根据运维时效、员工到岗率、问题解决率、水质达标情况、业主评价等各项功能信息的采集，形成内部规范管理考核模块，定期考核并形成结果。</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6.4、权限管理功能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企业运维平台（软件）能根据各类不同需要设置权限管理，满足主管部门整体化查询信息，各乡镇（街道）区域化查询信息的需要，不同的角色用户对平台有不同的操作权限，可以在权限管理模块里面进行相应的设定和修改。根据权限可设定用户对哪些片区的站点具有维护、查看等权限。</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6.5、设施信息管理功能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企业运维平台（软件）应当将所有农村生活污水处理设施以站点形式在地图上分布显示，点击每个设施可以查询该站点名称、具体位置（乡镇、村）及处理工艺、规模、类型和管理人员、联系方式、现状照片、运维状况等信息，并可根据需要在后台随时进行数据更新。</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6.6、运维工作管理功能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①站点实时状况监控。企业运维平台（软件）可以采集站点设施设备运行工况、流量、电耗等数据，并在软件中进行直观的展现。平台展现可以使用图画、数字等多种形式。平台可以实时控制设备启动和停止，修改站点运行策略。</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②数据统计分析。企业运维平台（软件）记录污水处理设施的实时数据，并提供实时数据的历史查询，同时平台自动汇总每日实时数据，包括每日水量，设备运行时长，电耗等。平台可将历史汇总数据进行永久储存，并在软件中提供曲线和报表查询。</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③现场监控。企业运维平台（软件）能通过实时监控或抓拍方式实时呈现污水处理站点现场情况（具体监控方式参照现场硬件）。</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④区域水流量及水质报表。企业运维平台（软件）对站点可以进行水流量、水质等信息的实时以及历史查询，采用最直观的表格树以及其他形式来呈现水流量、水质总报表，并储存相关在线检测相关数据。实现根据不同区域、级别反应不同的水流总量、水质信息，并根据相应权限，运维平台会自动将站点水量、水质情况进行汇总。</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⑤告警信息需求。当站点的设备停止工作或者出现异常情况，比如：风机、水泵等设备不正常工作，水流量异常、终端站点断电、在线水质检测终端水质异常等情况，在企业运维平台进行告警提示，同步报告至县级监管平台。</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6.7、政策导则管理功能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可以存储相关政策导则，并对相关文件进行分类，便于查阅。</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6.8、信息报送功能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根据省市县监管平台需求，建立信息报送功能，确保相关信息报送及时、准确。</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6.9、报表管理功能</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对平台中所有类型的报表，如考核表格、水质分析表格、设施运行工况表格等，进行分类归档，实现集中汇总查询。</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6.10、其他供应商开展工作所需的功能模块。</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7、智能化改造。供应商应根据各乡镇（街道）需求，对污水处理终端实施远程智能化改造，包括安装远程监控、风机水泵远程控制、数据采集传输模块等，确保满足省市县主管部门对终端智能化管理的需求。所涉及的货物免费保修期为三年，在保修期内因货物本身的质量问题发生故障，供应商应负责免费更换或提供后续服务。</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8、农村生活污水终端设施运行维护管理：</w:t>
      </w:r>
    </w:p>
    <w:p>
      <w:pPr>
        <w:snapToGrid w:val="0"/>
        <w:spacing w:line="420" w:lineRule="exact"/>
        <w:ind w:firstLine="420" w:firstLineChars="200"/>
        <w:jc w:val="left"/>
        <w:rPr>
          <w:rFonts w:ascii="宋体" w:hAnsi="宋体" w:cs="宋体"/>
          <w:szCs w:val="21"/>
        </w:rPr>
      </w:pPr>
      <w:r>
        <w:rPr>
          <w:rFonts w:hint="eastAsia" w:ascii="宋体" w:hAnsi="宋体" w:cs="宋体"/>
          <w:szCs w:val="21"/>
        </w:rPr>
        <w:t>8.1、所有终端设施正常运行；</w:t>
      </w:r>
    </w:p>
    <w:p>
      <w:pPr>
        <w:snapToGrid w:val="0"/>
        <w:spacing w:line="420" w:lineRule="exact"/>
        <w:ind w:firstLine="420" w:firstLineChars="200"/>
        <w:jc w:val="left"/>
        <w:rPr>
          <w:rFonts w:ascii="宋体" w:hAnsi="宋体" w:cs="宋体"/>
          <w:szCs w:val="21"/>
        </w:rPr>
      </w:pPr>
      <w:r>
        <w:rPr>
          <w:rFonts w:hint="eastAsia" w:ascii="宋体" w:hAnsi="宋体" w:cs="宋体"/>
          <w:szCs w:val="21"/>
        </w:rPr>
        <w:t>8.2、各养护小组对片区内的终端设施（集中式处理终端、户用处理罐、无动力人工湿地）开展全方位的巡检，频次需符合标准化运维相关要求，定期检查管网畅通、配电设施、植被养护、水质等情况，落实因自身运行维护管理不当造成设施设备损坏的维修和更换，并建立记录台账，上传企业运维平台并同步到县级监管平台；</w:t>
      </w:r>
    </w:p>
    <w:p>
      <w:pPr>
        <w:snapToGrid w:val="0"/>
        <w:spacing w:line="420" w:lineRule="exact"/>
        <w:ind w:firstLine="420" w:firstLineChars="200"/>
        <w:jc w:val="left"/>
        <w:rPr>
          <w:rFonts w:ascii="宋体" w:hAnsi="宋体" w:cs="宋体"/>
          <w:szCs w:val="21"/>
        </w:rPr>
      </w:pPr>
      <w:r>
        <w:rPr>
          <w:rFonts w:hint="eastAsia" w:ascii="宋体" w:hAnsi="宋体" w:cs="宋体"/>
          <w:szCs w:val="21"/>
        </w:rPr>
        <w:t>8.3、每年12月份由专业人员对终端处理设备进行一次彻查与清理，并检查曝气装置及潜污泵等，有老化、损毁发生时进行清洗和更换，并将整体情况报告提交至县主管部门；</w:t>
      </w:r>
    </w:p>
    <w:p>
      <w:pPr>
        <w:pStyle w:val="2"/>
        <w:spacing w:before="120"/>
        <w:rPr>
          <w:rFonts w:ascii="宋体" w:hAnsi="宋体" w:cs="宋体"/>
        </w:rPr>
      </w:pPr>
      <w:r>
        <w:rPr>
          <w:rFonts w:hint="eastAsia" w:ascii="宋体" w:hAnsi="宋体" w:cs="宋体"/>
          <w:szCs w:val="21"/>
        </w:rPr>
        <w:t>8.4、定期检查各设施设备的完整性、安全性，发现需大修问题（8.15项）及时做好安全防护并上报，由属地乡镇（街道）进行维修。</w:t>
      </w:r>
    </w:p>
    <w:p>
      <w:pPr>
        <w:snapToGrid w:val="0"/>
        <w:spacing w:line="420" w:lineRule="exact"/>
        <w:ind w:firstLine="420" w:firstLineChars="200"/>
        <w:jc w:val="left"/>
        <w:rPr>
          <w:rFonts w:ascii="宋体" w:hAnsi="宋体" w:cs="宋体"/>
          <w:szCs w:val="21"/>
        </w:rPr>
      </w:pPr>
      <w:r>
        <w:rPr>
          <w:rFonts w:hint="eastAsia" w:ascii="宋体" w:hAnsi="宋体" w:cs="宋体"/>
          <w:szCs w:val="21"/>
        </w:rPr>
        <w:t>8.5、主要设备定期保养：定期检查终端提升泵、回流泵、风机等主要设备运行情况，有损坏及时维修保证正常运行，并做好台账记录；</w:t>
      </w:r>
    </w:p>
    <w:p>
      <w:pPr>
        <w:snapToGrid w:val="0"/>
        <w:spacing w:line="420" w:lineRule="exact"/>
        <w:ind w:firstLine="420" w:firstLineChars="200"/>
        <w:jc w:val="left"/>
        <w:rPr>
          <w:rFonts w:ascii="宋体" w:hAnsi="宋体" w:cs="宋体"/>
          <w:szCs w:val="21"/>
        </w:rPr>
      </w:pPr>
      <w:r>
        <w:rPr>
          <w:rFonts w:hint="eastAsia" w:ascii="宋体" w:hAnsi="宋体" w:cs="宋体"/>
          <w:szCs w:val="21"/>
        </w:rPr>
        <w:t>8.6、配电设备定期保养：定期检查电控柜内各控制钮的运行情况，有损坏及时维修保证正常运行，并做好台账记录；</w:t>
      </w:r>
    </w:p>
    <w:p>
      <w:pPr>
        <w:pStyle w:val="2"/>
        <w:spacing w:before="120"/>
        <w:rPr>
          <w:rFonts w:ascii="宋体" w:hAnsi="宋体" w:cs="宋体"/>
        </w:rPr>
      </w:pPr>
      <w:r>
        <w:rPr>
          <w:rFonts w:hint="eastAsia" w:ascii="宋体" w:hAnsi="宋体" w:cs="宋体"/>
          <w:szCs w:val="21"/>
        </w:rPr>
        <w:t>8.7、远程控制模块定期维护：定期检查远程控制模块各类功能的运行情况，有损坏及时维修保证正常运行，并做好台账记录。</w:t>
      </w:r>
    </w:p>
    <w:p>
      <w:pPr>
        <w:snapToGrid w:val="0"/>
        <w:spacing w:line="420" w:lineRule="exact"/>
        <w:ind w:firstLine="420" w:firstLineChars="200"/>
        <w:jc w:val="left"/>
        <w:rPr>
          <w:rFonts w:ascii="宋体" w:hAnsi="宋体" w:cs="宋体"/>
          <w:szCs w:val="21"/>
        </w:rPr>
      </w:pPr>
      <w:r>
        <w:rPr>
          <w:rFonts w:hint="eastAsia" w:ascii="宋体" w:hAnsi="宋体" w:cs="宋体"/>
          <w:szCs w:val="21"/>
        </w:rPr>
        <w:t>8.8、终端围栏、电控柜、各类设施设备、公示牌、绿化及其他设施维护要求：</w:t>
      </w:r>
    </w:p>
    <w:p>
      <w:pPr>
        <w:snapToGrid w:val="0"/>
        <w:spacing w:line="420" w:lineRule="exact"/>
        <w:ind w:firstLine="420" w:firstLineChars="200"/>
        <w:jc w:val="left"/>
        <w:rPr>
          <w:rFonts w:ascii="宋体" w:hAnsi="宋体" w:cs="宋体"/>
          <w:szCs w:val="21"/>
        </w:rPr>
      </w:pPr>
      <w:r>
        <w:rPr>
          <w:rFonts w:hint="eastAsia" w:ascii="宋体" w:hAnsi="宋体" w:cs="宋体"/>
          <w:szCs w:val="21"/>
        </w:rPr>
        <w:t>围栏：围栏无倾倒、损坏，外观整洁，整体完好，不存在安全隐患；</w:t>
      </w:r>
    </w:p>
    <w:p>
      <w:pPr>
        <w:snapToGrid w:val="0"/>
        <w:spacing w:line="420" w:lineRule="exact"/>
        <w:ind w:firstLine="420" w:firstLineChars="200"/>
        <w:jc w:val="left"/>
        <w:rPr>
          <w:rFonts w:ascii="宋体" w:hAnsi="宋体" w:cs="宋体"/>
          <w:szCs w:val="21"/>
        </w:rPr>
      </w:pPr>
      <w:r>
        <w:rPr>
          <w:rFonts w:hint="eastAsia" w:ascii="宋体" w:hAnsi="宋体" w:cs="宋体"/>
          <w:szCs w:val="21"/>
        </w:rPr>
        <w:t>电控柜：电控柜整体完好无锈，不漏雨，相关门锁等配件完好，保障用电安全；</w:t>
      </w:r>
    </w:p>
    <w:p>
      <w:pPr>
        <w:snapToGrid w:val="0"/>
        <w:spacing w:line="420" w:lineRule="exact"/>
        <w:ind w:firstLine="420" w:firstLineChars="200"/>
        <w:jc w:val="left"/>
        <w:rPr>
          <w:rFonts w:ascii="宋体" w:hAnsi="宋体" w:cs="宋体"/>
          <w:bCs/>
          <w:szCs w:val="21"/>
        </w:rPr>
      </w:pPr>
      <w:r>
        <w:rPr>
          <w:rFonts w:hint="eastAsia" w:ascii="宋体" w:hAnsi="宋体" w:cs="宋体"/>
          <w:szCs w:val="21"/>
        </w:rPr>
        <w:t>设施：</w:t>
      </w:r>
      <w:r>
        <w:rPr>
          <w:rFonts w:hint="eastAsia" w:ascii="宋体" w:hAnsi="宋体" w:cs="宋体"/>
          <w:bCs/>
          <w:szCs w:val="21"/>
        </w:rPr>
        <w:t>保证设施设备包括但不仅限于各类池体及其附属设施、终端附属人工湿地、风机、水泵、气泵、回流泵、流量计、曝气管路系统、远程控制设备、在线水质监测等相关所有设备的完好及日常正常使用，对在线水质监测设施进行养护并添加相关药剂和耗材，保证其正常运行；</w:t>
      </w:r>
    </w:p>
    <w:p>
      <w:pPr>
        <w:snapToGrid w:val="0"/>
        <w:spacing w:line="420" w:lineRule="exact"/>
        <w:ind w:firstLine="420" w:firstLineChars="200"/>
        <w:jc w:val="left"/>
        <w:rPr>
          <w:rFonts w:ascii="宋体" w:hAnsi="宋体" w:cs="宋体"/>
          <w:szCs w:val="21"/>
        </w:rPr>
      </w:pPr>
      <w:r>
        <w:rPr>
          <w:rFonts w:hint="eastAsia" w:ascii="宋体" w:hAnsi="宋体" w:cs="宋体"/>
          <w:szCs w:val="21"/>
        </w:rPr>
        <w:t>公示牌：公示牌外观完好，无锈、无倾倒、破损，确保公示内容清晰并根据实际情况及时进行更新。设立警示标语并予以维护；</w:t>
      </w:r>
    </w:p>
    <w:p>
      <w:pPr>
        <w:snapToGrid w:val="0"/>
        <w:spacing w:line="420" w:lineRule="exact"/>
        <w:ind w:firstLine="420" w:firstLineChars="200"/>
        <w:jc w:val="left"/>
        <w:rPr>
          <w:rFonts w:ascii="宋体" w:hAnsi="宋体" w:cs="宋体"/>
          <w:szCs w:val="21"/>
        </w:rPr>
      </w:pPr>
      <w:r>
        <w:rPr>
          <w:rFonts w:hint="eastAsia" w:ascii="宋体" w:hAnsi="宋体" w:cs="宋体"/>
          <w:szCs w:val="21"/>
        </w:rPr>
        <w:t>绿化：终端内绿化成活率达到90%，湿地植物存活率达到90%，且生长良好，无杂草杂物，若运维期间绿化破坏死亡，由供应商补种；</w:t>
      </w:r>
    </w:p>
    <w:p>
      <w:pPr>
        <w:snapToGrid w:val="0"/>
        <w:spacing w:line="420" w:lineRule="exact"/>
        <w:ind w:firstLine="420" w:firstLineChars="200"/>
        <w:jc w:val="left"/>
        <w:rPr>
          <w:rFonts w:ascii="宋体" w:hAnsi="宋体" w:cs="宋体"/>
          <w:szCs w:val="21"/>
        </w:rPr>
      </w:pPr>
      <w:r>
        <w:rPr>
          <w:rFonts w:hint="eastAsia" w:ascii="宋体" w:hAnsi="宋体" w:cs="宋体"/>
          <w:szCs w:val="21"/>
        </w:rPr>
        <w:t>其他设施：保证终端检查井盖完好无破损，保证终端防坠网完好无破损，保证出水井清洁完好；</w:t>
      </w:r>
    </w:p>
    <w:p>
      <w:pPr>
        <w:snapToGrid w:val="0"/>
        <w:spacing w:line="420" w:lineRule="exact"/>
        <w:ind w:firstLine="422" w:firstLineChars="200"/>
        <w:jc w:val="left"/>
        <w:rPr>
          <w:rFonts w:ascii="宋体" w:hAnsi="宋体" w:cs="宋体"/>
          <w:b/>
          <w:bCs/>
          <w:szCs w:val="21"/>
          <w:u w:val="wavyHeavy"/>
        </w:rPr>
      </w:pPr>
      <w:r>
        <w:rPr>
          <w:rFonts w:hint="eastAsia" w:ascii="宋体" w:hAnsi="宋体" w:cs="宋体"/>
          <w:b/>
          <w:bCs/>
          <w:szCs w:val="21"/>
        </w:rPr>
        <w:t>8.9、按照《条例》要求对所有终端设施进行进出水检测，确保终端设施出水水质能达到主管部门要求的排放标准，并根据省市县最新相关文件要求或实际需要进行调整。此外还应根据主管部门或乡镇（街道）实际需求对终端设施进行额外的检测。</w:t>
      </w:r>
    </w:p>
    <w:p>
      <w:pPr>
        <w:snapToGrid w:val="0"/>
        <w:spacing w:line="420" w:lineRule="exact"/>
        <w:ind w:firstLine="420" w:firstLineChars="200"/>
        <w:jc w:val="left"/>
        <w:rPr>
          <w:rFonts w:ascii="宋体" w:hAnsi="宋体" w:cs="宋体"/>
          <w:szCs w:val="21"/>
        </w:rPr>
      </w:pPr>
      <w:r>
        <w:rPr>
          <w:rFonts w:hint="eastAsia" w:ascii="宋体" w:hAnsi="宋体" w:cs="宋体"/>
          <w:szCs w:val="21"/>
        </w:rPr>
        <w:t>8.10、如发现进出水水质、水量出现异常，影响正常运行的，应立即采取措施防止或减少危害后果，及时上报，并及时排查检修；</w:t>
      </w:r>
    </w:p>
    <w:p>
      <w:pPr>
        <w:snapToGrid w:val="0"/>
        <w:spacing w:line="420" w:lineRule="exact"/>
        <w:ind w:firstLine="420" w:firstLineChars="200"/>
        <w:jc w:val="left"/>
        <w:rPr>
          <w:rFonts w:ascii="宋体" w:hAnsi="宋体" w:cs="宋体"/>
          <w:szCs w:val="21"/>
        </w:rPr>
      </w:pPr>
      <w:r>
        <w:rPr>
          <w:rFonts w:hint="eastAsia" w:ascii="宋体" w:hAnsi="宋体" w:cs="宋体"/>
          <w:szCs w:val="21"/>
        </w:rPr>
        <w:t>8.11、积极配合省市县各级部门的考核、水质抽检、调研等各项工作；</w:t>
      </w:r>
    </w:p>
    <w:p>
      <w:pPr>
        <w:snapToGrid w:val="0"/>
        <w:spacing w:line="420" w:lineRule="exact"/>
        <w:ind w:firstLine="420" w:firstLineChars="200"/>
        <w:jc w:val="left"/>
        <w:rPr>
          <w:rFonts w:ascii="宋体" w:hAnsi="宋体" w:cs="宋体"/>
          <w:szCs w:val="21"/>
        </w:rPr>
      </w:pPr>
      <w:r>
        <w:rPr>
          <w:rFonts w:hint="eastAsia" w:ascii="宋体" w:hAnsi="宋体" w:cs="宋体"/>
          <w:szCs w:val="21"/>
        </w:rPr>
        <w:t>8.12、供应商负责终端设施清掏，并对清掏产生的污泥及其他杂物进行有效处置。处置要求：严格参照相关法律法规对终端运维清掏出的污泥及其他杂物进行无害化处理，费用由供应商承担，各乡镇及主管部门积极配合；终端调节池每半年至少清淤一次，厌氧池、兼氧池、好氧池、沉淀池等相关设施每年至少清淤一次，并根据省市县最新相关文件、要求进行调整，同时建立相关台帐记录；若实际操作中上述清淤频率不能满足需求的，供应商应当根据实际需求增加清淤频率，同时建立实际清掏频率评估机制，对相关设施清淤频率进行记录评估最佳清淤频率。</w:t>
      </w:r>
    </w:p>
    <w:p>
      <w:pPr>
        <w:pStyle w:val="8"/>
        <w:tabs>
          <w:tab w:val="left" w:pos="4018"/>
        </w:tabs>
        <w:spacing w:line="420" w:lineRule="exact"/>
        <w:ind w:firstLine="420" w:firstLineChars="200"/>
        <w:jc w:val="left"/>
        <w:rPr>
          <w:rFonts w:ascii="宋体" w:hAnsi="宋体" w:cs="宋体"/>
          <w:szCs w:val="21"/>
        </w:rPr>
      </w:pPr>
      <w:r>
        <w:rPr>
          <w:rFonts w:hint="eastAsia" w:ascii="宋体" w:hAnsi="宋体" w:cs="宋体"/>
          <w:bCs/>
          <w:szCs w:val="21"/>
        </w:rPr>
        <w:t>8.13、定期检查人工湿地植物生长状况，并进行病虫害防治；及时补种和修枝剪叶，清除杂草、垃圾、污物等；清扫湿地周边及湿地内部堆放的垃圾、污物，保持植物长势良好；每月检查土壤表面的水流情况，若有溢流、堵塞情况发生，记录并及时上报相关单位；对湿地进行整修，防止污水外溢，滋生蚊蝇；定期检查过滤系统是否堵塞，如遇堵塞及时采取措施时行清理或疏通，保证出水畅通；</w:t>
      </w:r>
    </w:p>
    <w:p>
      <w:pPr>
        <w:snapToGrid w:val="0"/>
        <w:spacing w:line="420" w:lineRule="exact"/>
        <w:ind w:firstLine="420" w:firstLineChars="200"/>
        <w:jc w:val="left"/>
        <w:rPr>
          <w:rFonts w:ascii="宋体" w:hAnsi="宋体" w:cs="宋体"/>
          <w:szCs w:val="21"/>
        </w:rPr>
      </w:pPr>
      <w:r>
        <w:rPr>
          <w:rFonts w:hint="eastAsia" w:ascii="宋体" w:hAnsi="宋体" w:cs="宋体"/>
          <w:szCs w:val="21"/>
        </w:rPr>
        <w:t>8.14、根据运维主管部门及乡镇（街道）要求建立终端运维台账（一池一档），就终端维护检修记录等进行记录，并及时上报；</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8.15、加强对事故风险影响（包括终端防涝措施等）的预防对策和管理措施，并建立相应的应急预案制度。如遇台风、暴雪等自然性突发灾害，应提前关闭电控柜内开关，对终端处理设备做好安全防护工作，灾后及时重启开关，并检查损坏情况，若损坏，应及时修复并上报。</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8.16、维修范围。除以下情况外，其他维修事项及费用由供应商负责：</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①暴雨、洪水、台风、海啸、地震、塌方、雷电、火灾等不可预见原因造成的处理设施损坏的；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②因施工质量问题导致沉降，造成处理设施损坏的；违法排污、人为破坏等造成的处理设施损毁或被盗的；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③池体（罐体）倾斜、开裂、自然老化、上浮等问题造成损坏的；</w:t>
      </w:r>
    </w:p>
    <w:p>
      <w:pPr>
        <w:autoSpaceDE w:val="0"/>
        <w:autoSpaceDN w:val="0"/>
        <w:adjustRightInd w:val="0"/>
        <w:spacing w:line="400" w:lineRule="exact"/>
        <w:ind w:firstLine="420" w:firstLineChars="200"/>
        <w:jc w:val="left"/>
        <w:rPr>
          <w:rFonts w:ascii="宋体" w:hAnsi="宋体" w:cs="宋体"/>
          <w:bCs/>
          <w:szCs w:val="21"/>
        </w:rPr>
      </w:pPr>
      <w:r>
        <w:rPr>
          <w:rFonts w:hint="eastAsia" w:ascii="宋体" w:hAnsi="宋体" w:cs="宋体"/>
          <w:bCs/>
          <w:szCs w:val="21"/>
        </w:rPr>
        <w:t>④建成5年以上的终端，初始安装的水泵、风机、控制柜、消毒设备的更换；</w:t>
      </w:r>
    </w:p>
    <w:p>
      <w:pPr>
        <w:pStyle w:val="2"/>
        <w:spacing w:before="120"/>
        <w:ind w:firstLine="420" w:firstLineChars="200"/>
        <w:rPr>
          <w:rFonts w:ascii="宋体" w:hAnsi="宋体" w:cs="宋体"/>
          <w:bCs/>
          <w:kern w:val="2"/>
          <w:szCs w:val="21"/>
        </w:rPr>
      </w:pPr>
      <w:r>
        <w:rPr>
          <w:rFonts w:hint="eastAsia" w:ascii="宋体" w:hAnsi="宋体" w:cs="宋体"/>
          <w:bCs/>
          <w:szCs w:val="21"/>
        </w:rPr>
        <w:t>⑤</w:t>
      </w:r>
      <w:r>
        <w:rPr>
          <w:rFonts w:hint="eastAsia" w:ascii="宋体" w:hAnsi="宋体" w:cs="宋体"/>
          <w:bCs/>
          <w:kern w:val="2"/>
          <w:szCs w:val="21"/>
        </w:rPr>
        <w:t>人工湿地填料的更换，池体填料（包括球类填料、弹性填料、生物膜等）及曝气设施的更换，MBR膜的更换；</w:t>
      </w:r>
    </w:p>
    <w:p>
      <w:pPr>
        <w:pStyle w:val="2"/>
        <w:spacing w:before="120"/>
        <w:ind w:firstLine="420" w:firstLineChars="200"/>
        <w:rPr>
          <w:rFonts w:ascii="宋体" w:hAnsi="宋体" w:cs="宋体"/>
          <w:bCs/>
          <w:kern w:val="2"/>
          <w:szCs w:val="21"/>
        </w:rPr>
      </w:pPr>
      <w:r>
        <w:rPr>
          <w:rFonts w:hint="eastAsia" w:ascii="宋体" w:hAnsi="宋体" w:cs="宋体"/>
          <w:bCs/>
          <w:kern w:val="2"/>
          <w:szCs w:val="21"/>
        </w:rPr>
        <w:t>⑥水质在线检测设备的修复，单设备单次维修5000元以上的；</w:t>
      </w:r>
    </w:p>
    <w:p>
      <w:pPr>
        <w:pStyle w:val="2"/>
        <w:spacing w:before="120"/>
        <w:ind w:firstLine="420" w:firstLineChars="200"/>
        <w:rPr>
          <w:rFonts w:ascii="宋体" w:hAnsi="宋体" w:cs="宋体"/>
          <w:bCs/>
          <w:kern w:val="2"/>
          <w:szCs w:val="21"/>
        </w:rPr>
      </w:pPr>
      <w:r>
        <w:rPr>
          <w:rFonts w:hint="eastAsia" w:ascii="宋体" w:hAnsi="宋体" w:cs="宋体"/>
          <w:bCs/>
          <w:kern w:val="2"/>
          <w:szCs w:val="21"/>
        </w:rPr>
        <w:t>⑦因农户或相关施工方私拉乱接，造成控制模块、电器设备损坏的；</w:t>
      </w:r>
    </w:p>
    <w:p>
      <w:pPr>
        <w:pStyle w:val="2"/>
        <w:spacing w:before="120"/>
        <w:ind w:firstLine="420" w:firstLineChars="200"/>
        <w:rPr>
          <w:rFonts w:ascii="宋体" w:hAnsi="宋体" w:cs="宋体"/>
          <w:bCs/>
          <w:kern w:val="2"/>
          <w:szCs w:val="21"/>
        </w:rPr>
      </w:pPr>
      <w:r>
        <w:rPr>
          <w:rFonts w:hint="eastAsia" w:ascii="宋体" w:hAnsi="宋体" w:cs="宋体"/>
          <w:bCs/>
          <w:kern w:val="2"/>
          <w:szCs w:val="21"/>
        </w:rPr>
        <w:t>⑧因交通事故造成设施终端损坏的；</w:t>
      </w:r>
    </w:p>
    <w:p>
      <w:pPr>
        <w:pStyle w:val="2"/>
        <w:spacing w:before="120"/>
        <w:ind w:firstLine="420" w:firstLineChars="200"/>
        <w:rPr>
          <w:rFonts w:ascii="宋体" w:hAnsi="宋体" w:cs="宋体"/>
          <w:bCs/>
          <w:szCs w:val="21"/>
        </w:rPr>
      </w:pPr>
      <w:r>
        <w:rPr>
          <w:rFonts w:hint="eastAsia" w:ascii="宋体" w:hAnsi="宋体" w:cs="宋体"/>
          <w:bCs/>
          <w:kern w:val="2"/>
          <w:szCs w:val="21"/>
        </w:rPr>
        <w:t>⑨运维单位在巡查中发现不属于维修范围内的问题后应及时上报，乡镇（街道）未及时修复，造成问题扩大的；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8.17、其它要求</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①运维期间终端如因改造需增加终端内污水处理设备，成交供应商应将其纳入维护管理，保证其正常运行，费用不再增加且不得拒绝接收；运维期间各乡镇（街道）新增委托终端设施的，供应商应按本次中标单价纳入维护管理，费用按实结算；因拆迁、改造等原因导致终端设施拆除或改变运维方式的，供应商应根据实际处理模式调整相应运维费用。</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②供应商应当根据主管部门或各乡镇相关（街道）的需求，参与农村生活污水处理设施新建改造各项工程项目中，免费⑤提供相关技术支持。</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③终端站点在运维过程中正常运行所产生的电费由供应商自行承担；</w:t>
      </w:r>
    </w:p>
    <w:p>
      <w:pPr>
        <w:pStyle w:val="8"/>
        <w:tabs>
          <w:tab w:val="left" w:pos="4018"/>
        </w:tabs>
        <w:spacing w:line="400" w:lineRule="exact"/>
        <w:ind w:firstLine="420" w:firstLineChars="200"/>
        <w:jc w:val="left"/>
        <w:rPr>
          <w:rFonts w:ascii="宋体" w:hAnsi="宋体" w:cs="宋体"/>
          <w:bCs/>
          <w:szCs w:val="21"/>
        </w:rPr>
      </w:pPr>
      <w:r>
        <w:rPr>
          <w:rFonts w:hint="eastAsia" w:ascii="宋体" w:hAnsi="宋体" w:cs="宋体"/>
          <w:bCs/>
          <w:szCs w:val="21"/>
        </w:rPr>
        <w:t>④运维期限内，终端站点内所有设备损坏及相关附属设施（包含但不仅限于风机、水泵、气泵、回流泵、流量计、曝气管路系统、远程控制设备、视频监控设备、井盖、防坠网、公示牌、围栏等相关所有设备及附属设施），除8.15项规定之外的，由供应商负责维修及更换，费用由供应商承担；</w:t>
      </w:r>
    </w:p>
    <w:p>
      <w:pPr>
        <w:pStyle w:val="8"/>
        <w:spacing w:line="420" w:lineRule="exact"/>
        <w:ind w:firstLine="420" w:firstLineChars="200"/>
        <w:jc w:val="left"/>
        <w:rPr>
          <w:rFonts w:ascii="宋体" w:hAnsi="宋体" w:cs="宋体"/>
          <w:szCs w:val="21"/>
        </w:rPr>
      </w:pPr>
      <w:r>
        <w:rPr>
          <w:rFonts w:hint="eastAsia" w:ascii="宋体" w:hAnsi="宋体" w:cs="宋体"/>
          <w:bCs/>
          <w:szCs w:val="21"/>
        </w:rPr>
        <w:t>⑤</w:t>
      </w:r>
      <w:r>
        <w:rPr>
          <w:rFonts w:hint="eastAsia" w:ascii="宋体" w:hAnsi="宋体" w:cs="宋体"/>
          <w:szCs w:val="21"/>
        </w:rPr>
        <w:t>除上述要求外，供应商工作仍应当满足浙江省《农村生活污水处理设施标准化运维评价标准》（DB33/T 1212-2</w:t>
      </w:r>
      <w:r>
        <w:rPr>
          <w:rFonts w:hint="eastAsia" w:ascii="宋体" w:hAnsi="宋体" w:cs="宋体"/>
          <w:bCs/>
          <w:szCs w:val="21"/>
        </w:rPr>
        <w:t>020）中各项要求，并根据省市县最新文件要求进行调整。</w:t>
      </w:r>
    </w:p>
    <w:p>
      <w:pPr>
        <w:pStyle w:val="8"/>
        <w:tabs>
          <w:tab w:val="left" w:pos="4018"/>
        </w:tabs>
        <w:spacing w:line="400" w:lineRule="exact"/>
        <w:ind w:firstLine="420" w:firstLineChars="200"/>
        <w:jc w:val="left"/>
        <w:rPr>
          <w:rFonts w:ascii="宋体" w:hAnsi="宋体" w:cs="宋体"/>
          <w:b/>
          <w:szCs w:val="21"/>
        </w:rPr>
      </w:pPr>
      <w:r>
        <w:rPr>
          <w:rFonts w:hint="eastAsia" w:ascii="宋体" w:hAnsi="宋体" w:cs="宋体"/>
          <w:bCs/>
          <w:szCs w:val="21"/>
        </w:rPr>
        <w:t>9、农村生活污水管网及其他设施运行维护</w:t>
      </w:r>
    </w:p>
    <w:p>
      <w:pPr>
        <w:pStyle w:val="8"/>
        <w:tabs>
          <w:tab w:val="left" w:pos="4018"/>
        </w:tabs>
        <w:spacing w:line="400" w:lineRule="exact"/>
        <w:ind w:firstLine="525" w:firstLineChars="250"/>
        <w:jc w:val="left"/>
        <w:rPr>
          <w:rFonts w:ascii="宋体" w:hAnsi="宋体" w:cs="宋体"/>
          <w:bCs/>
          <w:szCs w:val="21"/>
        </w:rPr>
      </w:pPr>
      <w:r>
        <w:rPr>
          <w:rFonts w:hint="eastAsia" w:ascii="宋体" w:hAnsi="宋体" w:cs="宋体"/>
          <w:bCs/>
          <w:szCs w:val="21"/>
        </w:rPr>
        <w:t>9.1、对终端设施以外的其他所有农村生活污水处理设施（包含但不限于管网、清扫井、化粪池、检查井、生态池、提升泵站及其附属设备、简易设施、绿化、防坠网等）进行运行维护，保证设施正常、稳定运行。</w:t>
      </w:r>
    </w:p>
    <w:p>
      <w:pPr>
        <w:snapToGrid w:val="0"/>
        <w:spacing w:line="420" w:lineRule="exact"/>
        <w:ind w:firstLine="420" w:firstLineChars="200"/>
        <w:jc w:val="left"/>
        <w:rPr>
          <w:rFonts w:ascii="宋体" w:hAnsi="宋体" w:cs="宋体"/>
          <w:szCs w:val="21"/>
        </w:rPr>
      </w:pPr>
      <w:r>
        <w:rPr>
          <w:rFonts w:hint="eastAsia" w:ascii="宋体" w:hAnsi="宋体" w:cs="宋体"/>
          <w:szCs w:val="21"/>
        </w:rPr>
        <w:t>9.2、确保管网系统畅通，发现淤积及时疏通；</w:t>
      </w:r>
    </w:p>
    <w:p>
      <w:pPr>
        <w:snapToGrid w:val="0"/>
        <w:spacing w:line="420" w:lineRule="exact"/>
        <w:ind w:firstLine="420" w:firstLineChars="200"/>
        <w:jc w:val="left"/>
        <w:rPr>
          <w:rFonts w:ascii="宋体" w:hAnsi="宋体" w:cs="宋体"/>
          <w:szCs w:val="21"/>
        </w:rPr>
      </w:pPr>
      <w:r>
        <w:rPr>
          <w:rFonts w:hint="eastAsia" w:ascii="宋体" w:hAnsi="宋体" w:cs="宋体"/>
          <w:szCs w:val="21"/>
        </w:rPr>
        <w:t>9.3、定期检查各设施设备、井盖、各种盖板的完整性、安全性，定期检查接户管等管道的运行情况，发现需大修问题（9.9项）及时做好安全防护并上报，由属地乡镇（街道）进行维修。</w:t>
      </w:r>
    </w:p>
    <w:p>
      <w:pPr>
        <w:snapToGrid w:val="0"/>
        <w:spacing w:line="420" w:lineRule="exact"/>
        <w:ind w:firstLine="420" w:firstLineChars="200"/>
        <w:jc w:val="left"/>
        <w:rPr>
          <w:rFonts w:ascii="宋体" w:hAnsi="宋体" w:cs="宋体"/>
          <w:szCs w:val="21"/>
        </w:rPr>
      </w:pPr>
      <w:r>
        <w:rPr>
          <w:rFonts w:hint="eastAsia" w:ascii="宋体" w:hAnsi="宋体" w:cs="宋体"/>
          <w:szCs w:val="21"/>
        </w:rPr>
        <w:t>9.4、定期检查提升泵站及其附属设施，确保运行正常。</w:t>
      </w:r>
      <w:r>
        <w:rPr>
          <w:rFonts w:hint="eastAsia" w:ascii="宋体" w:hAnsi="宋体" w:cs="宋体"/>
          <w:bCs/>
          <w:szCs w:val="21"/>
        </w:rPr>
        <w:t>泵站内所有设备及相关附属设施（包含但不仅限于水泵、管路系统、井盖、防坠网、公示牌、绿化、围栏、设备房等相关所有设备及附属设施）的损坏，除9.9项之外的，由供应商负责维修及更换，费用由供应商承担</w:t>
      </w:r>
      <w:r>
        <w:rPr>
          <w:rFonts w:hint="eastAsia" w:ascii="宋体" w:hAnsi="宋体" w:cs="宋体"/>
          <w:szCs w:val="21"/>
        </w:rPr>
        <w:t>。</w:t>
      </w:r>
    </w:p>
    <w:p>
      <w:pPr>
        <w:snapToGrid w:val="0"/>
        <w:spacing w:line="420" w:lineRule="exact"/>
        <w:ind w:firstLine="420" w:firstLineChars="200"/>
        <w:jc w:val="left"/>
        <w:rPr>
          <w:rFonts w:ascii="宋体" w:hAnsi="宋体" w:cs="宋体"/>
          <w:szCs w:val="21"/>
        </w:rPr>
      </w:pPr>
      <w:r>
        <w:rPr>
          <w:rFonts w:hint="eastAsia" w:ascii="宋体" w:hAnsi="宋体" w:cs="宋体"/>
          <w:szCs w:val="21"/>
        </w:rPr>
        <w:t xml:space="preserve">9.5、定期检查清扫井、隔油池、化粪池、检查井、生态池、简易设施，确保设施正常运行； </w:t>
      </w:r>
    </w:p>
    <w:p>
      <w:pPr>
        <w:snapToGrid w:val="0"/>
        <w:spacing w:line="420" w:lineRule="exact"/>
        <w:ind w:firstLine="420" w:firstLineChars="200"/>
        <w:jc w:val="left"/>
        <w:rPr>
          <w:rFonts w:ascii="宋体" w:hAnsi="宋体" w:cs="宋体"/>
          <w:szCs w:val="21"/>
        </w:rPr>
      </w:pPr>
      <w:r>
        <w:rPr>
          <w:rFonts w:hint="eastAsia" w:ascii="宋体" w:hAnsi="宋体" w:cs="宋体"/>
          <w:szCs w:val="21"/>
        </w:rPr>
        <w:t>9.6、发生紧急重大故障、严重问题等情况及时通知各乡镇部门（1小时内须通知到位）；</w:t>
      </w:r>
    </w:p>
    <w:p>
      <w:pPr>
        <w:snapToGrid w:val="0"/>
        <w:spacing w:line="420" w:lineRule="exact"/>
        <w:ind w:firstLine="420" w:firstLineChars="200"/>
        <w:jc w:val="left"/>
        <w:rPr>
          <w:rFonts w:ascii="宋体" w:hAnsi="宋体" w:cs="宋体"/>
          <w:szCs w:val="21"/>
        </w:rPr>
      </w:pPr>
      <w:r>
        <w:rPr>
          <w:rFonts w:hint="eastAsia" w:ascii="宋体" w:hAnsi="宋体" w:cs="宋体"/>
          <w:szCs w:val="21"/>
        </w:rPr>
        <w:t>9.7、运维过程中设施正常运行所产生的电费由供应商自行承担；</w:t>
      </w:r>
    </w:p>
    <w:p>
      <w:pPr>
        <w:snapToGrid w:val="0"/>
        <w:spacing w:line="420" w:lineRule="exact"/>
        <w:ind w:firstLine="420" w:firstLineChars="200"/>
        <w:jc w:val="left"/>
        <w:rPr>
          <w:rFonts w:hint="eastAsia" w:ascii="宋体" w:hAnsi="宋体" w:cs="宋体"/>
          <w:szCs w:val="21"/>
        </w:rPr>
      </w:pPr>
      <w:r>
        <w:rPr>
          <w:rFonts w:hint="eastAsia" w:ascii="宋体" w:hAnsi="宋体" w:cs="宋体"/>
          <w:szCs w:val="21"/>
        </w:rPr>
        <w:t>9.8、供应商负责管网及各类设施的维护，并对各类设施维护产生的污泥及其他杂物进行处置。处置要求：严格参照相关法律法规定期对各类设施运维清掏出的污泥及其他杂物进行无害化处理，费用由供应商承担；对纳入农村生活污水长效运维管理的清扫井、格栅井、隔油池、提升泵站及相关调节池、格栅井等每月至少巡查一次，并及时进行清渣，检查格栅、隔板等是否损坏或缺失，并做好维修，保持清扫井、格栅井的正常功能；调节池、提升泵站、大型格栅井等每半年至少清</w:t>
      </w:r>
      <w:bookmarkStart w:id="73" w:name="_GoBack"/>
      <w:bookmarkEnd w:id="73"/>
      <w:r>
        <w:rPr>
          <w:rFonts w:hint="eastAsia" w:ascii="宋体" w:hAnsi="宋体" w:cs="宋体"/>
          <w:szCs w:val="21"/>
        </w:rPr>
        <w:t>淤一次；化粪池等相关设施每年至少清淤一次。若实际操作中上述清淤频率不能满足需求的，供应商应当根据实际需求增加清淤频率，同时建立实际使用清掏频率评估机制，对全县相关设施清淤频率进行记录评估最佳清淤频率。</w:t>
      </w: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szCs w:val="21"/>
        </w:rPr>
        <w:t>9.9、</w:t>
      </w:r>
      <w:r>
        <w:rPr>
          <w:rFonts w:hint="eastAsia" w:ascii="宋体" w:hAnsi="宋体" w:cs="宋体"/>
          <w:bCs/>
          <w:szCs w:val="21"/>
        </w:rPr>
        <w:t>维修范围。除以下情况外，其他维修事项及费用由供应商负责：</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①暴雨、洪水、台风、海啸、地震、塌方、雷电、火灾等不可预见原因造成的处理设施损坏的；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②因施工质量原因造成沉降，引起管道设施损坏的；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③违法排污、人为破坏等造成的管道设施堵塞、损毁的；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bCs/>
          <w:szCs w:val="21"/>
        </w:rPr>
        <w:t>④因地质原因造成管道上浮等问题的；</w:t>
      </w:r>
    </w:p>
    <w:p>
      <w:pPr>
        <w:autoSpaceDE w:val="0"/>
        <w:autoSpaceDN w:val="0"/>
        <w:adjustRightInd w:val="0"/>
        <w:spacing w:line="400" w:lineRule="exact"/>
        <w:ind w:firstLine="420" w:firstLineChars="200"/>
        <w:jc w:val="left"/>
        <w:rPr>
          <w:rFonts w:ascii="宋体" w:hAnsi="宋体" w:cs="宋体"/>
          <w:bCs/>
          <w:szCs w:val="21"/>
        </w:rPr>
      </w:pPr>
      <w:r>
        <w:rPr>
          <w:rFonts w:hint="eastAsia" w:ascii="宋体" w:hAnsi="宋体" w:cs="宋体"/>
          <w:bCs/>
          <w:szCs w:val="21"/>
        </w:rPr>
        <w:t>⑤因农户或施工方施工活动造成的管道损坏的；</w:t>
      </w:r>
    </w:p>
    <w:p>
      <w:pPr>
        <w:pStyle w:val="2"/>
        <w:spacing w:before="120"/>
        <w:ind w:firstLine="420" w:firstLineChars="200"/>
        <w:rPr>
          <w:rFonts w:ascii="宋体" w:hAnsi="宋体" w:cs="宋体"/>
          <w:bCs/>
          <w:kern w:val="2"/>
          <w:szCs w:val="21"/>
        </w:rPr>
      </w:pPr>
      <w:r>
        <w:rPr>
          <w:rFonts w:hint="eastAsia" w:ascii="宋体" w:hAnsi="宋体" w:cs="宋体"/>
          <w:bCs/>
          <w:kern w:val="2"/>
          <w:szCs w:val="21"/>
        </w:rPr>
        <w:t>⑥因交通事故造成管道设施损坏的；</w:t>
      </w:r>
    </w:p>
    <w:p>
      <w:pPr>
        <w:pStyle w:val="2"/>
        <w:spacing w:before="120"/>
        <w:ind w:firstLine="420" w:firstLineChars="200"/>
        <w:rPr>
          <w:rFonts w:ascii="宋体" w:hAnsi="宋体" w:cs="宋体"/>
          <w:bCs/>
          <w:kern w:val="2"/>
          <w:szCs w:val="21"/>
        </w:rPr>
      </w:pPr>
      <w:r>
        <w:rPr>
          <w:rFonts w:hint="eastAsia" w:ascii="宋体" w:hAnsi="宋体" w:cs="宋体"/>
          <w:bCs/>
          <w:kern w:val="2"/>
          <w:szCs w:val="21"/>
        </w:rPr>
        <w:t>⑦硬化地（路）面的开挖修复：</w:t>
      </w:r>
    </w:p>
    <w:p>
      <w:pPr>
        <w:pStyle w:val="2"/>
        <w:spacing w:before="120"/>
        <w:ind w:firstLine="420" w:firstLineChars="200"/>
        <w:rPr>
          <w:rFonts w:ascii="宋体" w:hAnsi="宋体" w:cs="宋体"/>
          <w:bCs/>
          <w:color w:val="FF0000"/>
          <w:szCs w:val="21"/>
        </w:rPr>
      </w:pPr>
      <w:r>
        <w:rPr>
          <w:rFonts w:hint="eastAsia" w:ascii="宋体" w:hAnsi="宋体" w:cs="宋体"/>
          <w:bCs/>
          <w:kern w:val="2"/>
          <w:szCs w:val="21"/>
        </w:rPr>
        <w:t>⑧运维单位在巡查中发现不属于维修范围内的问题后应及时上报，乡镇（街道）未及时修复，造成问题扩大的；</w:t>
      </w:r>
    </w:p>
    <w:p>
      <w:pPr>
        <w:pStyle w:val="8"/>
        <w:tabs>
          <w:tab w:val="left" w:pos="4018"/>
        </w:tabs>
        <w:spacing w:line="420" w:lineRule="exact"/>
        <w:ind w:firstLine="420" w:firstLineChars="200"/>
        <w:jc w:val="left"/>
        <w:rPr>
          <w:rFonts w:ascii="宋体" w:hAnsi="宋体" w:cs="宋体"/>
          <w:bCs/>
          <w:szCs w:val="21"/>
        </w:rPr>
      </w:pPr>
      <w:r>
        <w:rPr>
          <w:rFonts w:hint="eastAsia" w:ascii="宋体" w:hAnsi="宋体" w:cs="宋体"/>
          <w:szCs w:val="21"/>
        </w:rPr>
        <w:t>9.10、</w:t>
      </w:r>
      <w:r>
        <w:rPr>
          <w:rFonts w:hint="eastAsia" w:ascii="宋体" w:hAnsi="宋体" w:cs="宋体"/>
          <w:bCs/>
          <w:szCs w:val="21"/>
        </w:rPr>
        <w:t>其它要求</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①运维期间各乡镇（街道）新增委托管网等污水处理设施设施的，供应商应按本次中标单价纳入维护管理，费用按实结算且不得拒绝接收；因拆迁、改造等原因导致管网设施拆除的，供应商应根据实际调整相应运维费用。</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②供应商应当根据主管部门或各乡镇相关（街道）的需求，参与农村生活污水处理设施新建改造各项工程项目中，免费提供相关技术支持。</w:t>
      </w:r>
    </w:p>
    <w:p>
      <w:pPr>
        <w:pStyle w:val="8"/>
        <w:spacing w:line="400" w:lineRule="exact"/>
        <w:ind w:firstLine="420" w:firstLineChars="200"/>
        <w:jc w:val="left"/>
        <w:rPr>
          <w:rFonts w:ascii="宋体" w:hAnsi="宋体" w:cs="宋体"/>
          <w:bCs/>
          <w:szCs w:val="21"/>
        </w:rPr>
      </w:pPr>
      <w:r>
        <w:rPr>
          <w:rFonts w:hint="eastAsia" w:ascii="宋体" w:hAnsi="宋体" w:cs="宋体"/>
          <w:bCs/>
          <w:szCs w:val="21"/>
        </w:rPr>
        <w:t>③除上述要求外，供应商工作仍应当满足浙江省《农村生活污水处理设施标准化运维评价标准》（DB33/T 1212-2020）中各项要求，并根据省市县最新文件要求进行调整。</w:t>
      </w:r>
    </w:p>
    <w:p>
      <w:pPr>
        <w:pStyle w:val="8"/>
        <w:numPr>
          <w:ilvl w:val="0"/>
          <w:numId w:val="6"/>
        </w:numPr>
        <w:spacing w:line="400" w:lineRule="exact"/>
        <w:ind w:firstLine="420" w:firstLineChars="200"/>
        <w:jc w:val="left"/>
        <w:rPr>
          <w:rFonts w:ascii="宋体" w:hAnsi="宋体" w:cs="宋体"/>
          <w:bCs/>
          <w:szCs w:val="21"/>
        </w:rPr>
      </w:pPr>
      <w:r>
        <w:rPr>
          <w:rFonts w:hint="eastAsia" w:ascii="宋体" w:hAnsi="宋体" w:cs="宋体"/>
          <w:bCs/>
          <w:szCs w:val="21"/>
        </w:rPr>
        <w:t>省县监管平台数据维护。供应商应按照省、县主管部门要求，派驻专职工作人员对监管平台进行日常数据维护，包括但不限于：行政村、自然村信息复核；集中式处理设施、户用处理设施（罐）、简易设施、公共化粪池信息更新；农户接户信息复核；新建改建设施信息更新；水质检测情况信息更新；标准化运维信息维护。并按要求，保证省县监管平台与企业平台的数据端口正常联通。</w:t>
      </w:r>
    </w:p>
    <w:p>
      <w:pPr>
        <w:pStyle w:val="8"/>
        <w:numPr>
          <w:ilvl w:val="0"/>
          <w:numId w:val="6"/>
        </w:numPr>
        <w:spacing w:line="400" w:lineRule="exact"/>
        <w:ind w:firstLine="420" w:firstLineChars="200"/>
        <w:jc w:val="left"/>
        <w:rPr>
          <w:rFonts w:ascii="宋体" w:hAnsi="宋体" w:cs="宋体"/>
          <w:bCs/>
          <w:szCs w:val="21"/>
        </w:rPr>
      </w:pPr>
      <w:r>
        <w:rPr>
          <w:rFonts w:hint="eastAsia" w:ascii="宋体" w:hAnsi="宋体" w:cs="宋体"/>
          <w:bCs/>
          <w:szCs w:val="21"/>
        </w:rPr>
        <w:t>污泥等废弃物的处置。供应商应按照省、县主管部门要求，对</w:t>
      </w:r>
      <w:r>
        <w:rPr>
          <w:rFonts w:hint="eastAsia" w:ascii="宋体" w:hAnsi="宋体" w:cs="宋体"/>
          <w:color w:val="000000"/>
          <w:szCs w:val="21"/>
        </w:rPr>
        <w:t>处理设备、化粪池、隔油池、格栅井、人工湿地产生的污泥、粪便、油脂、栅渣、收割后人工湿地植物等废弃物进行有效处置。</w:t>
      </w:r>
    </w:p>
    <w:p>
      <w:pPr>
        <w:pStyle w:val="8"/>
        <w:spacing w:line="420" w:lineRule="exact"/>
        <w:jc w:val="left"/>
        <w:rPr>
          <w:rFonts w:ascii="宋体" w:hAnsi="宋体" w:cs="宋体"/>
          <w:b/>
          <w:szCs w:val="21"/>
        </w:rPr>
      </w:pPr>
      <w:r>
        <w:rPr>
          <w:rFonts w:hint="eastAsia" w:ascii="宋体" w:hAnsi="宋体" w:cs="宋体"/>
          <w:b/>
          <w:szCs w:val="21"/>
        </w:rPr>
        <w:t>四、运维服务期结束后的项目移交</w:t>
      </w:r>
    </w:p>
    <w:p>
      <w:pPr>
        <w:pStyle w:val="8"/>
        <w:spacing w:line="420" w:lineRule="exact"/>
        <w:ind w:firstLine="420" w:firstLineChars="200"/>
        <w:jc w:val="left"/>
        <w:rPr>
          <w:rFonts w:ascii="宋体" w:hAnsi="宋体" w:cs="宋体"/>
          <w:bCs/>
          <w:szCs w:val="21"/>
        </w:rPr>
      </w:pPr>
      <w:r>
        <w:rPr>
          <w:rFonts w:hint="eastAsia" w:ascii="宋体" w:hAnsi="宋体" w:cs="宋体"/>
          <w:bCs/>
          <w:szCs w:val="21"/>
        </w:rPr>
        <w:t>1、在运行期结束移交时，设备必须保存完好，能正常运行，出水达标情况符合主管部门要求。</w:t>
      </w:r>
    </w:p>
    <w:p>
      <w:pPr>
        <w:pStyle w:val="8"/>
        <w:spacing w:line="420" w:lineRule="exact"/>
        <w:ind w:firstLine="420" w:firstLineChars="200"/>
        <w:jc w:val="left"/>
        <w:rPr>
          <w:rFonts w:ascii="宋体" w:hAnsi="宋体" w:cs="宋体"/>
          <w:bCs/>
          <w:szCs w:val="21"/>
        </w:rPr>
      </w:pPr>
      <w:r>
        <w:rPr>
          <w:rFonts w:hint="eastAsia" w:ascii="宋体" w:hAnsi="宋体" w:cs="宋体"/>
          <w:bCs/>
          <w:szCs w:val="21"/>
        </w:rPr>
        <w:t>2、运行期结束移交时，应同时移交运营所产生的数据和相关管理资料。</w:t>
      </w:r>
    </w:p>
    <w:p>
      <w:pPr>
        <w:pStyle w:val="8"/>
        <w:spacing w:line="420" w:lineRule="exact"/>
        <w:ind w:firstLine="420" w:firstLineChars="200"/>
        <w:jc w:val="left"/>
        <w:rPr>
          <w:rFonts w:ascii="宋体" w:hAnsi="宋体" w:cs="宋体"/>
          <w:bCs/>
          <w:szCs w:val="21"/>
        </w:rPr>
      </w:pPr>
      <w:r>
        <w:rPr>
          <w:rFonts w:hint="eastAsia" w:ascii="宋体" w:hAnsi="宋体" w:cs="宋体"/>
          <w:bCs/>
          <w:szCs w:val="21"/>
        </w:rPr>
        <w:t>3、在运行期结束移交时，应提供移交后管理人员的管理培训（保障新的管理人员能正常上岗操作），并提供1年时间的免费咨询服务和现场指导。</w:t>
      </w:r>
    </w:p>
    <w:p>
      <w:pPr>
        <w:pStyle w:val="8"/>
        <w:spacing w:line="420" w:lineRule="exact"/>
        <w:ind w:firstLine="420" w:firstLineChars="200"/>
        <w:jc w:val="left"/>
        <w:rPr>
          <w:rFonts w:ascii="宋体" w:hAnsi="宋体" w:cs="宋体"/>
          <w:bCs/>
          <w:szCs w:val="21"/>
        </w:rPr>
      </w:pPr>
      <w:r>
        <w:rPr>
          <w:rFonts w:hint="eastAsia" w:ascii="宋体" w:hAnsi="宋体" w:cs="宋体"/>
          <w:bCs/>
          <w:szCs w:val="21"/>
        </w:rPr>
        <w:t>4、在运维期内，因供应商原因导致项目的运维管理出现问题并造成损失的、发生重大安全事故的、发生重大平安信访事件的，供应商必须赔偿相应损失并承担相应责任，同时采购人有权单方终止本项目合同，并有权另行选择其他运维管理商进行项目的运营维护，并且供应商必须配合做好项目的移交工作。</w:t>
      </w:r>
    </w:p>
    <w:p>
      <w:pPr>
        <w:spacing w:line="360" w:lineRule="auto"/>
        <w:rPr>
          <w:rStyle w:val="25"/>
          <w:highlight w:val="white"/>
        </w:rPr>
      </w:pPr>
      <w:r>
        <w:rPr>
          <w:rFonts w:hint="eastAsia" w:ascii="宋体" w:hAnsi="宋体" w:cs="Arial"/>
          <w:b/>
          <w:bCs/>
          <w:snapToGrid w:val="0"/>
          <w:kern w:val="0"/>
          <w:szCs w:val="21"/>
        </w:rPr>
        <w:t>五、</w:t>
      </w:r>
      <w:r>
        <w:rPr>
          <w:rStyle w:val="25"/>
          <w:rFonts w:hint="eastAsia"/>
          <w:highlight w:val="white"/>
        </w:rPr>
        <w:t>商务要求：</w:t>
      </w:r>
    </w:p>
    <w:tbl>
      <w:tblPr>
        <w:tblStyle w:val="2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6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1546" w:type="dxa"/>
            <w:tcBorders>
              <w:top w:val="single" w:color="auto" w:sz="4" w:space="0"/>
              <w:bottom w:val="single" w:color="auto" w:sz="4" w:space="0"/>
              <w:right w:val="single" w:color="auto" w:sz="4" w:space="0"/>
            </w:tcBorders>
            <w:vAlign w:val="center"/>
          </w:tcPr>
          <w:p>
            <w:pPr>
              <w:snapToGrid w:val="0"/>
              <w:spacing w:beforeLines="50" w:afterLines="50" w:line="40" w:lineRule="atLeast"/>
              <w:rPr>
                <w:rFonts w:ascii="宋体" w:hAnsi="宋体" w:cs="宋体"/>
                <w:szCs w:val="21"/>
              </w:rPr>
            </w:pPr>
            <w:r>
              <w:rPr>
                <w:rFonts w:hint="eastAsia" w:ascii="宋体" w:hAnsi="宋体" w:cs="宋体"/>
                <w:kern w:val="0"/>
                <w:szCs w:val="21"/>
                <w:lang w:val="zh-CN"/>
              </w:rPr>
              <w:t>服务期</w:t>
            </w:r>
          </w:p>
        </w:tc>
        <w:tc>
          <w:tcPr>
            <w:tcW w:w="6976" w:type="dxa"/>
            <w:tcBorders>
              <w:top w:val="single" w:color="auto" w:sz="4" w:space="0"/>
              <w:left w:val="single" w:color="auto" w:sz="4" w:space="0"/>
              <w:bottom w:val="single" w:color="auto" w:sz="4" w:space="0"/>
            </w:tcBorders>
            <w:vAlign w:val="center"/>
          </w:tcPr>
          <w:p>
            <w:pPr>
              <w:snapToGrid w:val="0"/>
              <w:spacing w:beforeLines="50" w:afterLines="50" w:line="40" w:lineRule="atLeast"/>
              <w:rPr>
                <w:rFonts w:ascii="宋体" w:hAnsi="宋体" w:cs="宋体"/>
                <w:szCs w:val="21"/>
              </w:rPr>
            </w:pPr>
            <w:r>
              <w:rPr>
                <w:rFonts w:hint="eastAsia" w:ascii="宋体" w:hAnsi="宋体" w:cs="宋体"/>
                <w:kern w:val="0"/>
                <w:szCs w:val="21"/>
              </w:rPr>
              <w:t>一年，以签订合同之日起计算。经采购人考核合格后可续签，最多可续签4次，最后一次续签截止时间为2025年10月31日。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546" w:type="dxa"/>
            <w:tcBorders>
              <w:top w:val="single" w:color="auto" w:sz="4" w:space="0"/>
              <w:bottom w:val="single" w:color="auto" w:sz="4" w:space="0"/>
              <w:right w:val="single" w:color="auto" w:sz="4" w:space="0"/>
            </w:tcBorders>
            <w:vAlign w:val="center"/>
          </w:tcPr>
          <w:p>
            <w:pPr>
              <w:snapToGrid w:val="0"/>
              <w:spacing w:beforeLines="50" w:afterLines="50" w:line="40" w:lineRule="atLeast"/>
              <w:rPr>
                <w:rFonts w:ascii="宋体" w:hAnsi="宋体" w:cs="宋体"/>
                <w:szCs w:val="21"/>
              </w:rPr>
            </w:pPr>
            <w:r>
              <w:rPr>
                <w:rFonts w:hint="eastAsia" w:ascii="宋体" w:hAnsi="宋体" w:cs="宋体"/>
                <w:kern w:val="0"/>
                <w:szCs w:val="21"/>
                <w:lang w:val="zh-CN"/>
              </w:rPr>
              <w:t>服务要求</w:t>
            </w:r>
          </w:p>
        </w:tc>
        <w:tc>
          <w:tcPr>
            <w:tcW w:w="6976" w:type="dxa"/>
            <w:tcBorders>
              <w:top w:val="single" w:color="auto" w:sz="4" w:space="0"/>
              <w:left w:val="single" w:color="auto" w:sz="4" w:space="0"/>
              <w:bottom w:val="single" w:color="auto" w:sz="4" w:space="0"/>
            </w:tcBorders>
            <w:vAlign w:val="center"/>
          </w:tcPr>
          <w:p>
            <w:pPr>
              <w:spacing w:line="420" w:lineRule="exact"/>
              <w:jc w:val="left"/>
              <w:rPr>
                <w:rFonts w:ascii="宋体" w:hAnsi="宋体" w:cs="宋体"/>
                <w:szCs w:val="21"/>
              </w:rPr>
            </w:pPr>
            <w:r>
              <w:rPr>
                <w:rFonts w:hint="eastAsia" w:ascii="宋体" w:hAnsi="宋体" w:cs="宋体"/>
                <w:szCs w:val="21"/>
              </w:rPr>
              <w:t>详见第三章采购需求中：</w:t>
            </w:r>
            <w:r>
              <w:rPr>
                <w:rFonts w:hint="eastAsia" w:ascii="宋体" w:hAnsi="宋体" w:cs="宋体"/>
                <w:b/>
                <w:szCs w:val="21"/>
              </w:rPr>
              <w:t>安吉县农村生活污水处理设施运维服务</w:t>
            </w:r>
            <w:r>
              <w:rPr>
                <w:rFonts w:hint="eastAsia" w:ascii="宋体" w:hAnsi="宋体" w:cs="宋体"/>
                <w:b/>
                <w:kern w:val="0"/>
                <w:szCs w:val="21"/>
              </w:rPr>
              <w:t>项目服务要求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1546" w:type="dxa"/>
            <w:tcBorders>
              <w:top w:val="single" w:color="auto" w:sz="4" w:space="0"/>
              <w:bottom w:val="single" w:color="auto" w:sz="4" w:space="0"/>
              <w:right w:val="single" w:color="auto" w:sz="4" w:space="0"/>
            </w:tcBorders>
            <w:vAlign w:val="center"/>
          </w:tcPr>
          <w:p>
            <w:pPr>
              <w:spacing w:beforeLines="50" w:afterLines="50" w:line="40" w:lineRule="atLeast"/>
              <w:rPr>
                <w:rFonts w:ascii="宋体" w:hAnsi="宋体" w:cs="宋体"/>
                <w:szCs w:val="21"/>
              </w:rPr>
            </w:pPr>
            <w:r>
              <w:rPr>
                <w:rFonts w:hint="eastAsia" w:ascii="宋体" w:hAnsi="宋体" w:cs="宋体"/>
                <w:szCs w:val="21"/>
              </w:rPr>
              <w:t>服务地点</w:t>
            </w:r>
          </w:p>
        </w:tc>
        <w:tc>
          <w:tcPr>
            <w:tcW w:w="6976" w:type="dxa"/>
            <w:tcBorders>
              <w:top w:val="single" w:color="auto" w:sz="4" w:space="0"/>
              <w:left w:val="single" w:color="auto" w:sz="4" w:space="0"/>
              <w:bottom w:val="single" w:color="auto" w:sz="4" w:space="0"/>
            </w:tcBorders>
            <w:vAlign w:val="center"/>
          </w:tcPr>
          <w:p>
            <w:pPr>
              <w:spacing w:beforeLines="50" w:afterLines="50" w:line="40" w:lineRule="atLeast"/>
              <w:rPr>
                <w:rFonts w:ascii="宋体" w:hAnsi="宋体" w:cs="宋体"/>
                <w:szCs w:val="21"/>
              </w:rPr>
            </w:pPr>
            <w:r>
              <w:rPr>
                <w:rFonts w:hint="eastAsia" w:ascii="宋体" w:hAnsi="宋体" w:cs="宋体"/>
                <w:bCs/>
                <w:kern w:val="0"/>
                <w:szCs w:val="21"/>
              </w:rPr>
              <w:t>安吉县域内</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1546" w:type="dxa"/>
            <w:tcBorders>
              <w:top w:val="single" w:color="auto" w:sz="4" w:space="0"/>
              <w:bottom w:val="single" w:color="auto" w:sz="4" w:space="0"/>
              <w:right w:val="single" w:color="auto" w:sz="4" w:space="0"/>
            </w:tcBorders>
            <w:vAlign w:val="center"/>
          </w:tcPr>
          <w:p>
            <w:pPr>
              <w:spacing w:beforeLines="50" w:afterLines="50" w:line="40" w:lineRule="atLeast"/>
              <w:rPr>
                <w:rFonts w:ascii="宋体" w:hAnsi="宋体" w:cs="宋体"/>
                <w:szCs w:val="21"/>
              </w:rPr>
            </w:pPr>
            <w:r>
              <w:rPr>
                <w:rFonts w:hint="eastAsia" w:ascii="宋体" w:hAnsi="宋体" w:cs="宋体"/>
                <w:szCs w:val="21"/>
              </w:rPr>
              <w:t>履约担保（保证金）</w:t>
            </w:r>
          </w:p>
        </w:tc>
        <w:tc>
          <w:tcPr>
            <w:tcW w:w="6976" w:type="dxa"/>
            <w:tcBorders>
              <w:top w:val="single" w:color="auto" w:sz="4" w:space="0"/>
              <w:left w:val="single" w:color="auto" w:sz="4" w:space="0"/>
              <w:bottom w:val="single" w:color="auto" w:sz="4" w:space="0"/>
            </w:tcBorders>
            <w:vAlign w:val="center"/>
          </w:tcPr>
          <w:p>
            <w:pPr>
              <w:snapToGrid w:val="0"/>
              <w:spacing w:line="300" w:lineRule="exact"/>
              <w:rPr>
                <w:rFonts w:hint="eastAsia" w:ascii="宋体" w:hAnsi="宋体" w:cs="宋体"/>
                <w:bCs/>
                <w:color w:val="FF0000"/>
                <w:kern w:val="0"/>
                <w:szCs w:val="21"/>
              </w:rPr>
            </w:pPr>
            <w:r>
              <w:rPr>
                <w:rFonts w:hint="eastAsia" w:ascii="宋体" w:hAnsi="宋体" w:cs="宋体"/>
                <w:bCs/>
                <w:color w:val="FF0000"/>
                <w:kern w:val="0"/>
                <w:szCs w:val="21"/>
              </w:rPr>
              <w:t>中标供应商须缴纳人民币100000.00元,在第一笔运维服务费用中扣除作为保证金；</w:t>
            </w:r>
          </w:p>
          <w:p>
            <w:pPr>
              <w:snapToGrid w:val="0"/>
              <w:spacing w:line="300" w:lineRule="exact"/>
              <w:rPr>
                <w:rFonts w:ascii="宋体" w:hAnsi="宋体" w:cs="宋体"/>
                <w:bCs/>
                <w:color w:val="FF0000"/>
                <w:kern w:val="0"/>
                <w:szCs w:val="21"/>
              </w:rPr>
            </w:pPr>
            <w:r>
              <w:rPr>
                <w:rFonts w:hint="eastAsia" w:ascii="宋体" w:hAnsi="宋体" w:cs="宋体"/>
                <w:bCs/>
                <w:color w:val="FF0000"/>
                <w:kern w:val="0"/>
                <w:szCs w:val="21"/>
              </w:rPr>
              <w:t>中标供应商当月考评在良好以下，按本招标文件“ 服务质量考评办法和处理措施”约定，在保证金中予以罚款扣除，并在下一次运维资金拨付时予以扣回。如合同实施期内中标供应商未按照要求履行合同则保证金不予返还。在合同实施期内如因中标供应商原因造成采购人财产损失的，采购人有权在保证金中扣除；</w:t>
            </w:r>
          </w:p>
          <w:p>
            <w:pPr>
              <w:tabs>
                <w:tab w:val="left" w:pos="4018"/>
              </w:tabs>
              <w:snapToGrid w:val="0"/>
              <w:spacing w:line="300" w:lineRule="exact"/>
              <w:rPr>
                <w:rFonts w:ascii="宋体" w:hAnsi="宋体" w:cs="宋体"/>
                <w:b/>
                <w:bCs/>
                <w:kern w:val="0"/>
                <w:szCs w:val="21"/>
                <w:u w:val="single"/>
              </w:rPr>
            </w:pPr>
            <w:r>
              <w:rPr>
                <w:rFonts w:hint="eastAsia" w:ascii="宋体" w:hAnsi="宋体" w:cs="宋体"/>
                <w:bCs/>
                <w:color w:val="FF0000"/>
                <w:kern w:val="0"/>
                <w:szCs w:val="21"/>
              </w:rPr>
              <w:t>保证金的退还：到期未能续签的，在合同实施期满后10天内办好全部移交手续后予以退还（不计息）。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6" w:type="dxa"/>
            <w:tcBorders>
              <w:top w:val="single" w:color="auto" w:sz="4" w:space="0"/>
              <w:bottom w:val="single" w:color="auto" w:sz="4" w:space="0"/>
              <w:right w:val="single" w:color="auto" w:sz="4" w:space="0"/>
            </w:tcBorders>
            <w:vAlign w:val="center"/>
          </w:tcPr>
          <w:p>
            <w:pPr>
              <w:spacing w:beforeLines="50" w:afterLines="50" w:line="40" w:lineRule="atLeast"/>
              <w:rPr>
                <w:rFonts w:ascii="宋体" w:hAnsi="宋体" w:cs="宋体"/>
                <w:szCs w:val="21"/>
              </w:rPr>
            </w:pPr>
            <w:r>
              <w:rPr>
                <w:rFonts w:hint="eastAsia" w:ascii="宋体" w:hAnsi="宋体" w:cs="宋体"/>
                <w:szCs w:val="21"/>
              </w:rPr>
              <w:t>付款条件</w:t>
            </w:r>
          </w:p>
        </w:tc>
        <w:tc>
          <w:tcPr>
            <w:tcW w:w="6976" w:type="dxa"/>
            <w:tcBorders>
              <w:top w:val="single" w:color="auto" w:sz="4" w:space="0"/>
              <w:left w:val="single" w:color="auto" w:sz="4" w:space="0"/>
              <w:bottom w:val="single" w:color="auto" w:sz="4" w:space="0"/>
            </w:tcBorders>
            <w:vAlign w:val="center"/>
          </w:tcPr>
          <w:p>
            <w:pPr>
              <w:tabs>
                <w:tab w:val="left" w:pos="4018"/>
              </w:tabs>
              <w:snapToGrid w:val="0"/>
              <w:spacing w:line="300" w:lineRule="exact"/>
              <w:rPr>
                <w:rFonts w:ascii="宋体" w:hAnsi="宋体" w:cs="宋体"/>
                <w:szCs w:val="21"/>
              </w:rPr>
            </w:pPr>
            <w:r>
              <w:rPr>
                <w:rFonts w:hint="eastAsia" w:ascii="宋体" w:hAnsi="宋体" w:cs="宋体"/>
                <w:szCs w:val="21"/>
              </w:rPr>
              <w:t>1、运维费付款方式：先服务后付费，不支付预付款。采购人根据中标价和考核结果向中标人付费，第一次11月份进行，第二次次年6月份进行，</w:t>
            </w:r>
            <w:r>
              <w:rPr>
                <w:rFonts w:hint="eastAsia" w:ascii="宋体" w:hAnsi="宋体"/>
                <w:color w:val="FF0000"/>
                <w:szCs w:val="21"/>
              </w:rPr>
              <w:t>在第一笔运维费用支付时扣除10万元作为保证金</w:t>
            </w:r>
            <w:r>
              <w:rPr>
                <w:rFonts w:hint="eastAsia" w:ascii="宋体" w:hAnsi="宋体" w:cs="宋体"/>
                <w:szCs w:val="21"/>
              </w:rPr>
              <w:t>。运维费用计算方法：中标全费用单价×移交运维的实际数量×实际运维服务时间（天数），结合考核结果计算。</w:t>
            </w:r>
          </w:p>
          <w:p>
            <w:pPr>
              <w:tabs>
                <w:tab w:val="left" w:pos="4018"/>
              </w:tabs>
              <w:snapToGrid w:val="0"/>
              <w:spacing w:line="300" w:lineRule="exact"/>
              <w:rPr>
                <w:rFonts w:ascii="宋体" w:hAnsi="宋体" w:cs="宋体"/>
                <w:szCs w:val="21"/>
              </w:rPr>
            </w:pPr>
            <w:r>
              <w:rPr>
                <w:rFonts w:hint="eastAsia" w:ascii="宋体" w:hAnsi="宋体" w:cs="宋体"/>
                <w:szCs w:val="21"/>
              </w:rPr>
              <w:t>2、运维费发票中标人必须开具财税正式发票，否则不予支付。</w:t>
            </w:r>
          </w:p>
          <w:p>
            <w:pPr>
              <w:tabs>
                <w:tab w:val="left" w:pos="4018"/>
              </w:tabs>
              <w:snapToGrid w:val="0"/>
              <w:spacing w:line="300" w:lineRule="exact"/>
              <w:rPr>
                <w:rFonts w:ascii="宋体" w:hAnsi="宋体" w:cs="宋体"/>
                <w:szCs w:val="21"/>
              </w:rPr>
            </w:pPr>
            <w:r>
              <w:rPr>
                <w:rFonts w:hint="eastAsia" w:ascii="宋体" w:hAnsi="宋体" w:cs="宋体"/>
                <w:szCs w:val="21"/>
              </w:rPr>
              <w:t>3、最后一次运维费用的款项须等所有设备、资料移交后支付。</w:t>
            </w:r>
          </w:p>
        </w:tc>
      </w:tr>
    </w:tbl>
    <w:p>
      <w:pPr>
        <w:spacing w:line="360" w:lineRule="exact"/>
        <w:jc w:val="left"/>
        <w:rPr>
          <w:rFonts w:ascii="宋体" w:hAnsi="宋体"/>
          <w:b/>
          <w:szCs w:val="21"/>
        </w:rPr>
      </w:pPr>
      <w:r>
        <w:rPr>
          <w:rFonts w:hint="eastAsia" w:ascii="宋体" w:hAnsi="宋体"/>
          <w:b/>
          <w:szCs w:val="21"/>
        </w:rPr>
        <w:t>六、其他事项</w:t>
      </w:r>
    </w:p>
    <w:p>
      <w:pPr>
        <w:spacing w:line="360" w:lineRule="exact"/>
        <w:jc w:val="left"/>
        <w:rPr>
          <w:rFonts w:ascii="宋体" w:hAnsi="宋体"/>
          <w:szCs w:val="21"/>
        </w:rPr>
      </w:pPr>
      <w:r>
        <w:rPr>
          <w:rFonts w:hint="eastAsia" w:ascii="宋体" w:hAnsi="宋体"/>
          <w:szCs w:val="21"/>
        </w:rPr>
        <w:t>1、投标报价：投标报价应包括</w:t>
      </w:r>
      <w:r>
        <w:rPr>
          <w:rFonts w:hint="eastAsia" w:ascii="宋体" w:hAnsi="宋体" w:cs="微软雅黑"/>
          <w:szCs w:val="21"/>
        </w:rPr>
        <w:t>招标文件、合同条款约定的技术服务费用、现场技术服务、数据采集、成果验收等工作所需的费用以及设备费、人员来往的交通、通信、食宿、税金、采购代理服务费等一切费用。</w:t>
      </w:r>
    </w:p>
    <w:p>
      <w:pPr>
        <w:spacing w:line="360" w:lineRule="exact"/>
        <w:jc w:val="left"/>
        <w:rPr>
          <w:rFonts w:ascii="宋体" w:hAnsi="宋体"/>
          <w:szCs w:val="21"/>
        </w:rPr>
      </w:pPr>
      <w:r>
        <w:rPr>
          <w:rFonts w:hint="eastAsia" w:ascii="宋体" w:hAnsi="宋体"/>
          <w:szCs w:val="21"/>
        </w:rPr>
        <w:t>2、以上为采购人为本项目提出的基本服务要求，中标人应全部满足。</w:t>
      </w:r>
    </w:p>
    <w:p>
      <w:pPr>
        <w:spacing w:line="360" w:lineRule="exact"/>
        <w:jc w:val="left"/>
        <w:rPr>
          <w:rFonts w:ascii="宋体" w:hAnsi="宋体"/>
          <w:szCs w:val="21"/>
        </w:rPr>
      </w:pPr>
      <w:r>
        <w:rPr>
          <w:rFonts w:hint="eastAsia" w:ascii="宋体" w:hAnsi="宋体"/>
          <w:szCs w:val="21"/>
        </w:rPr>
        <w:t>3、在此基础上，中标人若有其他服务承诺，也将一并执行。</w:t>
      </w:r>
    </w:p>
    <w:p>
      <w:pPr>
        <w:spacing w:line="360" w:lineRule="exact"/>
        <w:jc w:val="left"/>
        <w:rPr>
          <w:rFonts w:ascii="宋体" w:hAnsi="宋体"/>
          <w:szCs w:val="21"/>
        </w:rPr>
      </w:pPr>
      <w:r>
        <w:rPr>
          <w:rFonts w:hint="eastAsia" w:ascii="宋体" w:hAnsi="宋体"/>
          <w:szCs w:val="21"/>
        </w:rPr>
        <w:t>4、成交供应商应严格实施的各类安全防护措施，设置必要的施工警戒标志，制定保障人员安全施工的措施，对工程施工现场的安全负责，接受采购人的现场代表对安全措施的监督。技术人员必须持证上岗，专人专职负责安全。项目建设期间，若发生与本项目建设相关的安全事故、治安纠纷及其他意外事件，一切法律和经济责任均由各标项成交供应商承担。</w:t>
      </w:r>
    </w:p>
    <w:p>
      <w:pPr>
        <w:spacing w:line="360" w:lineRule="exact"/>
        <w:jc w:val="left"/>
        <w:rPr>
          <w:rFonts w:ascii="宋体" w:hAnsi="宋体"/>
          <w:szCs w:val="21"/>
        </w:rPr>
      </w:pPr>
      <w:r>
        <w:rPr>
          <w:rFonts w:hint="eastAsia" w:ascii="宋体" w:hAnsi="宋体"/>
          <w:szCs w:val="21"/>
        </w:rPr>
        <w:t>5、标“▲”条款是实质性条款，投标人必须全部响应，否则投标无效。</w:t>
      </w:r>
    </w:p>
    <w:bookmarkEnd w:id="30"/>
    <w:p>
      <w:pPr>
        <w:pStyle w:val="20"/>
        <w:spacing w:line="480" w:lineRule="auto"/>
      </w:pPr>
      <w:bookmarkStart w:id="31" w:name="_Toc452125560"/>
    </w:p>
    <w:p/>
    <w:p>
      <w:pPr>
        <w:pStyle w:val="2"/>
      </w:pPr>
    </w:p>
    <w:p>
      <w:pPr>
        <w:pStyle w:val="2"/>
      </w:pPr>
    </w:p>
    <w:p>
      <w:pPr>
        <w:pStyle w:val="20"/>
        <w:spacing w:line="480" w:lineRule="auto"/>
      </w:pPr>
      <w:r>
        <w:rPr>
          <w:rFonts w:hint="eastAsia"/>
        </w:rPr>
        <w:t>第四章</w:t>
      </w:r>
      <w:r>
        <w:t xml:space="preserve">   </w:t>
      </w:r>
      <w:r>
        <w:rPr>
          <w:rFonts w:hint="eastAsia"/>
        </w:rPr>
        <w:t>评分办法及评分标准</w:t>
      </w:r>
      <w:bookmarkEnd w:id="31"/>
    </w:p>
    <w:p>
      <w:pPr>
        <w:spacing w:line="400" w:lineRule="exact"/>
        <w:ind w:firstLine="420" w:firstLineChars="200"/>
        <w:rPr>
          <w:rFonts w:ascii="宋体" w:hAnsi="宋体" w:cs="Arial"/>
          <w:snapToGrid w:val="0"/>
          <w:color w:val="000000"/>
          <w:szCs w:val="21"/>
        </w:rPr>
      </w:pPr>
      <w:bookmarkStart w:id="32" w:name="_Toc452125561"/>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pStyle w:val="13"/>
        <w:spacing w:line="400" w:lineRule="exact"/>
        <w:ind w:firstLine="422" w:firstLineChars="200"/>
        <w:rPr>
          <w:rFonts w:cs="宋体"/>
          <w:bCs/>
          <w:sz w:val="21"/>
          <w:szCs w:val="21"/>
        </w:rPr>
      </w:pPr>
      <w:r>
        <w:rPr>
          <w:rFonts w:hint="eastAsia" w:cs="宋体"/>
          <w:b/>
          <w:bCs/>
          <w:color w:val="FF0000"/>
          <w:sz w:val="21"/>
          <w:szCs w:val="21"/>
        </w:rPr>
        <w:t>本项目专门面向中小企业采购</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价（10分）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pPr>
        <w:spacing w:beforeLines="50" w:afterLines="50"/>
        <w:rPr>
          <w:rFonts w:ascii="宋体" w:hAnsi="宋体" w:cs="Arial"/>
          <w:b/>
          <w:snapToGrid w:val="0"/>
          <w:szCs w:val="21"/>
        </w:rPr>
      </w:pPr>
      <w:r>
        <w:rPr>
          <w:rFonts w:hint="eastAsia" w:ascii="宋体" w:hAnsi="宋体" w:cs="Arial"/>
          <w:b/>
          <w:snapToGrid w:val="0"/>
          <w:szCs w:val="21"/>
        </w:rPr>
        <w:t>（二）技术、商务、资信及其他分（90分）</w:t>
      </w:r>
    </w:p>
    <w:tbl>
      <w:tblPr>
        <w:tblStyle w:val="22"/>
        <w:tblW w:w="0" w:type="auto"/>
        <w:jc w:val="center"/>
        <w:tblLayout w:type="fixed"/>
        <w:tblCellMar>
          <w:top w:w="0" w:type="dxa"/>
          <w:left w:w="108" w:type="dxa"/>
          <w:bottom w:w="0" w:type="dxa"/>
          <w:right w:w="108" w:type="dxa"/>
        </w:tblCellMar>
      </w:tblPr>
      <w:tblGrid>
        <w:gridCol w:w="949"/>
        <w:gridCol w:w="1077"/>
        <w:gridCol w:w="674"/>
        <w:gridCol w:w="6018"/>
      </w:tblGrid>
      <w:tr>
        <w:tblPrEx>
          <w:tblCellMar>
            <w:top w:w="0" w:type="dxa"/>
            <w:left w:w="108" w:type="dxa"/>
            <w:bottom w:w="0" w:type="dxa"/>
            <w:right w:w="108" w:type="dxa"/>
          </w:tblCellMar>
        </w:tblPrEx>
        <w:trPr>
          <w:trHeight w:val="41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项目</w:t>
            </w:r>
          </w:p>
        </w:tc>
        <w:tc>
          <w:tcPr>
            <w:tcW w:w="107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分项</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分值</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评分内容和标准</w:t>
            </w:r>
          </w:p>
        </w:tc>
      </w:tr>
      <w:tr>
        <w:tblPrEx>
          <w:tblCellMar>
            <w:top w:w="0" w:type="dxa"/>
            <w:left w:w="108" w:type="dxa"/>
            <w:bottom w:w="0" w:type="dxa"/>
            <w:right w:w="108" w:type="dxa"/>
          </w:tblCellMar>
        </w:tblPrEx>
        <w:trPr>
          <w:trHeight w:val="90" w:hRule="atLeast"/>
          <w:jc w:val="center"/>
        </w:trPr>
        <w:tc>
          <w:tcPr>
            <w:tcW w:w="949"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投标技术方案（70分）</w:t>
            </w:r>
          </w:p>
        </w:tc>
        <w:tc>
          <w:tcPr>
            <w:tcW w:w="1077" w:type="dxa"/>
            <w:tcBorders>
              <w:top w:val="single" w:color="auto" w:sz="4" w:space="0"/>
              <w:left w:val="nil"/>
              <w:right w:val="single" w:color="auto" w:sz="4" w:space="0"/>
            </w:tcBorders>
            <w:vAlign w:val="center"/>
          </w:tcPr>
          <w:p>
            <w:pPr>
              <w:tabs>
                <w:tab w:val="left" w:pos="1418"/>
              </w:tabs>
              <w:spacing w:line="400" w:lineRule="exact"/>
              <w:jc w:val="left"/>
              <w:rPr>
                <w:rFonts w:ascii="宋体" w:hAnsi="宋体" w:cs="宋体"/>
                <w:szCs w:val="21"/>
              </w:rPr>
            </w:pPr>
            <w:r>
              <w:rPr>
                <w:rFonts w:hint="eastAsia" w:ascii="宋体" w:hAnsi="宋体" w:cs="宋体"/>
                <w:szCs w:val="21"/>
              </w:rPr>
              <w:t>总体要求的理解</w:t>
            </w:r>
          </w:p>
        </w:tc>
        <w:tc>
          <w:tcPr>
            <w:tcW w:w="674"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15分</w:t>
            </w:r>
          </w:p>
        </w:tc>
        <w:tc>
          <w:tcPr>
            <w:tcW w:w="6018"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对本项目的总体要求的理解，对项目的熟悉情况以及对本项目的现状问题的分析。供应商应提前针对本项目自行进行踏勘，并提供相关乡（镇、街）踏勘的调研材料，根据踏勘的乡（镇、街）的数量及调研材料质量（是否符合实际情况、提出合理建议方案等）进行评议打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调研材料内容详实，数据准确的得4-5分；调研材料内容一般，数据较为准确的得2-3分；调研材料内容较差，数据参考性较差的得0-2分；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通过调研等对本项目分析合理且具有针对性的得4-5分；理解分析一般且部分具有针对性的得2-3分；理解分析不够全面合理且不具有针对性的得0-2分；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通过分析提出针对本项目合理化建议。建议合理操作性强的得4-5分；建议较为合理就有一定操作性的得2-3分；建议不够合理操作性较差的得0-2分；</w:t>
            </w:r>
          </w:p>
        </w:tc>
      </w:tr>
      <w:tr>
        <w:tblPrEx>
          <w:tblCellMar>
            <w:top w:w="0" w:type="dxa"/>
            <w:left w:w="108" w:type="dxa"/>
            <w:bottom w:w="0" w:type="dxa"/>
            <w:right w:w="108" w:type="dxa"/>
          </w:tblCellMar>
        </w:tblPrEx>
        <w:trPr>
          <w:trHeight w:val="90"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tcBorders>
              <w:top w:val="single" w:color="auto" w:sz="4" w:space="0"/>
              <w:left w:val="nil"/>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运维方案</w:t>
            </w:r>
          </w:p>
        </w:tc>
        <w:tc>
          <w:tcPr>
            <w:tcW w:w="674"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8分</w:t>
            </w:r>
          </w:p>
        </w:tc>
        <w:tc>
          <w:tcPr>
            <w:tcW w:w="6018"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投标人针对项目具体实施拟定的运维实施方案详实、有针对性、内容完整等（包括项目概况介绍，服务的范围，内容，平台建设、目标、思路、运维设备、人员配置及岗位职责，运维工作内容细分及考核等内容，平台介绍等），方案全面合理且具有针对性的最高得8分，有欠缺或缺漏或不合理的每项扣1-2分，扣完为止。</w:t>
            </w:r>
            <w:r>
              <w:rPr>
                <w:rFonts w:hint="eastAsia" w:ascii="仿宋" w:hAnsi="仿宋" w:eastAsia="仿宋" w:cs="仿宋"/>
                <w:szCs w:val="21"/>
              </w:rPr>
              <w:t xml:space="preserve"> </w:t>
            </w:r>
          </w:p>
        </w:tc>
      </w:tr>
      <w:tr>
        <w:tblPrEx>
          <w:tblCellMar>
            <w:top w:w="0" w:type="dxa"/>
            <w:left w:w="108" w:type="dxa"/>
            <w:bottom w:w="0" w:type="dxa"/>
            <w:right w:w="108" w:type="dxa"/>
          </w:tblCellMar>
        </w:tblPrEx>
        <w:trPr>
          <w:trHeight w:val="712"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cs="宋体"/>
                <w:szCs w:val="21"/>
              </w:rPr>
            </w:pPr>
            <w:r>
              <w:rPr>
                <w:rFonts w:hint="eastAsia" w:ascii="宋体" w:hAnsi="宋体" w:cs="宋体"/>
                <w:szCs w:val="21"/>
              </w:rPr>
              <w:t>应急预案</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5分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投标人针对本项目的突发应急事件（突然停水、停电情况处理、设备故障应急处理、水质超标紧急处理等）的处理预案是否合理、及时有效；处理预案考虑周全的得3-5分，处理预案基本完整的得1-3分，处理预案粗糙的得0-1分。</w:t>
            </w:r>
          </w:p>
        </w:tc>
      </w:tr>
      <w:tr>
        <w:tblPrEx>
          <w:tblCellMar>
            <w:top w:w="0" w:type="dxa"/>
            <w:left w:w="108" w:type="dxa"/>
            <w:bottom w:w="0" w:type="dxa"/>
            <w:right w:w="108" w:type="dxa"/>
          </w:tblCellMar>
        </w:tblPrEx>
        <w:trPr>
          <w:trHeight w:val="712"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人员技术力量</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r>
              <w:rPr>
                <w:rFonts w:hint="eastAsia" w:ascii="宋体" w:hAnsi="宋体" w:cs="宋体"/>
                <w:szCs w:val="21"/>
              </w:rPr>
              <w:t>18分</w:t>
            </w:r>
          </w:p>
        </w:tc>
        <w:tc>
          <w:tcPr>
            <w:tcW w:w="6018"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1、满足项目基本人员配置要求的不得分，不满足则投标无效。</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2、投标人配置经过运维养护专业培训的农污运维养护员至少30名，每增加5名加2分，最高得8分（须提供人员配置承诺书加盖单位公章编入投标文件，不提供不得分。）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3、项目班组成员配备（10分）：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团队优化：</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环境保护类高级工程师1人，环境保护类中级工程师2人，满足要求得2分，不满足不得分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持证电工4人，经过专业培训的地下管道疏通养护员8人，满足要求得2分，不满足不得分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经过专业培训的采样员4人，经过专业培训的化验员2人，满足要求得2分，不满足不得分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台帐资料员1人，平台管理员1人，信息报送员1人，安全管理员2人，满足要求得2分，不满足不得分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二级建造师（市政专业）或有中级及以上工程师(市政专业)2人，二级建造师（机电专业）或有中级及以上工程师（机电专业或自动化专业）2人，中级及以上工程师（计算机或信息化或网络专业)1人。</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满足以上要求得2分，不满足不得分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（以上人员必须出具有效证书，人员一经确定不得变更。人员社保必须在投标人公司，以近三个月社保部门出具的社会保险参保证明，复印件加盖公章。不提供不得分）。</w:t>
            </w:r>
          </w:p>
        </w:tc>
      </w:tr>
      <w:tr>
        <w:tblPrEx>
          <w:tblCellMar>
            <w:top w:w="0" w:type="dxa"/>
            <w:left w:w="108" w:type="dxa"/>
            <w:bottom w:w="0" w:type="dxa"/>
            <w:right w:w="108" w:type="dxa"/>
          </w:tblCellMar>
        </w:tblPrEx>
        <w:trPr>
          <w:trHeight w:val="712"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车辆配备情况</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10分</w:t>
            </w:r>
          </w:p>
        </w:tc>
        <w:tc>
          <w:tcPr>
            <w:tcW w:w="6018" w:type="dxa"/>
            <w:tcBorders>
              <w:top w:val="single" w:color="auto" w:sz="4" w:space="0"/>
              <w:left w:val="nil"/>
              <w:bottom w:val="single" w:color="auto" w:sz="4" w:space="0"/>
              <w:right w:val="single" w:color="auto" w:sz="4" w:space="0"/>
            </w:tcBorders>
            <w:vAlign w:val="center"/>
          </w:tcPr>
          <w:p>
            <w:pPr>
              <w:numPr>
                <w:ilvl w:val="0"/>
                <w:numId w:val="7"/>
              </w:num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供应商针对本项目配备15辆运维工作车辆且至少含三辆吸污车（至少1辆4吨及以上），二辆管道冲洗车的得4分，低于此配置的得0分；（投标文件中须提供机动车车辆登记证及行驶证复印件及投标单位出具为本项目专用车辆的承诺证明，缺一不可，若提供车辆为租赁车辆，则还需要提供租赁合同）</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基本配备运维车辆中投标人自有车辆不得低于10辆，每少一辆则分数扣1分，扣完为止。</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2、管道冲洗车至少2辆，每增加1辆得0.5分，最高得2分。（须提供吸污车配置承诺书加盖单位公章编入投标文件，不提供不得分。）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3、吸污车至少3辆，每增加1辆得0.5分，最高得2分。（须提供吸污车配置承诺书加盖单位公章编入投标文件，不提供不得分。）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4、投标人配置小型管道疏通车至少1辆，每增加1辆得0.5分，最高得2分。（须提供小型管道疏通车配置承诺书加盖单位公章编入投标文件，不提供不得分。）</w:t>
            </w:r>
          </w:p>
        </w:tc>
      </w:tr>
      <w:tr>
        <w:tblPrEx>
          <w:tblCellMar>
            <w:top w:w="0" w:type="dxa"/>
            <w:left w:w="108" w:type="dxa"/>
            <w:bottom w:w="0" w:type="dxa"/>
            <w:right w:w="108" w:type="dxa"/>
          </w:tblCellMar>
        </w:tblPrEx>
        <w:trPr>
          <w:trHeight w:val="431"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维修能力</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5分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投标供应商具有的设备维修能力和保障措施，备品备件的配备情况等进行打分。维修能力和保障措施科学有效，备件充足的3-5分，备件提供情况和维修保障措施基本合理1-3分，备件提供情况和维修保障措施较差0-1分。</w:t>
            </w:r>
          </w:p>
        </w:tc>
      </w:tr>
      <w:tr>
        <w:tblPrEx>
          <w:tblCellMar>
            <w:top w:w="0" w:type="dxa"/>
            <w:left w:w="108" w:type="dxa"/>
            <w:bottom w:w="0" w:type="dxa"/>
            <w:right w:w="108" w:type="dxa"/>
          </w:tblCellMar>
        </w:tblPrEx>
        <w:trPr>
          <w:trHeight w:val="1097"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本项目的保证措施</w:t>
            </w:r>
          </w:p>
          <w:p>
            <w:pPr>
              <w:autoSpaceDE w:val="0"/>
              <w:autoSpaceDN w:val="0"/>
              <w:adjustRightInd w:val="0"/>
              <w:snapToGrid w:val="0"/>
              <w:spacing w:line="360" w:lineRule="exact"/>
              <w:textAlignment w:val="bottom"/>
              <w:rPr>
                <w:rFonts w:ascii="宋体" w:hAnsi="宋体" w:cs="宋体"/>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3分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运行维护技术质量保证措施：由评标委员会根据投标人对设施运行维护服务过程中对技术质量监管的措施、可靠性及技术保障的科学合理性是否合理；保证措施合理且具有针对性的得2-3分，保证措施较全面合理、部分具有针对性的得1-2分，保证措施不够全面合理且不具有针对性的得0-1分。</w:t>
            </w:r>
          </w:p>
        </w:tc>
      </w:tr>
      <w:tr>
        <w:tblPrEx>
          <w:tblCellMar>
            <w:top w:w="0" w:type="dxa"/>
            <w:left w:w="108" w:type="dxa"/>
            <w:bottom w:w="0" w:type="dxa"/>
            <w:right w:w="108" w:type="dxa"/>
          </w:tblCellMar>
        </w:tblPrEx>
        <w:trPr>
          <w:trHeight w:val="90"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3分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运行维护管理安全保证措施：由评标委员会根据投标人对设施运行维护服务过程中对安全监管的措施、可靠性及管理安全的科学合理性是否合理等；保证措施合理且具有针对性的得2-3分，保证措施较全面合理、部分具有针对性的得1-2分，保证措施不够全面合理且不具有针对性的得0-1分。</w:t>
            </w:r>
          </w:p>
        </w:tc>
      </w:tr>
      <w:tr>
        <w:tblPrEx>
          <w:tblCellMar>
            <w:top w:w="0" w:type="dxa"/>
            <w:left w:w="108" w:type="dxa"/>
            <w:bottom w:w="0" w:type="dxa"/>
            <w:right w:w="108" w:type="dxa"/>
          </w:tblCellMar>
        </w:tblPrEx>
        <w:trPr>
          <w:trHeight w:val="90"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107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3分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运行维护服务质量保证措施：评委根据投标人所做的故障响应，修复时限，距离招标人项目地最便捷的售后服务点的力量配备、售后服务承诺和技术服务情况有利于招标人的程度评级打分；保障措施合理且具有针对性的得2-3分，保障措施较全面合理、部分具有针对性的得1-2分，保障措施不够全面合理且不具有针对性的得0-1分。</w:t>
            </w:r>
          </w:p>
        </w:tc>
      </w:tr>
      <w:tr>
        <w:tblPrEx>
          <w:tblCellMar>
            <w:top w:w="0" w:type="dxa"/>
            <w:left w:w="108" w:type="dxa"/>
            <w:bottom w:w="0" w:type="dxa"/>
            <w:right w:w="108" w:type="dxa"/>
          </w:tblCellMar>
        </w:tblPrEx>
        <w:trPr>
          <w:trHeight w:val="90" w:hRule="atLeast"/>
          <w:jc w:val="center"/>
        </w:trPr>
        <w:tc>
          <w:tcPr>
            <w:tcW w:w="94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r>
              <w:rPr>
                <w:rFonts w:hint="eastAsia" w:ascii="宋体" w:hAnsi="宋体" w:cs="宋体"/>
                <w:szCs w:val="21"/>
              </w:rPr>
              <w:t>资信及商务文件（20分）</w:t>
            </w:r>
          </w:p>
        </w:tc>
        <w:tc>
          <w:tcPr>
            <w:tcW w:w="1077" w:type="dxa"/>
            <w:vMerge w:val="restart"/>
            <w:tcBorders>
              <w:top w:val="single" w:color="auto" w:sz="4" w:space="0"/>
              <w:left w:val="single" w:color="auto" w:sz="4" w:space="0"/>
              <w:right w:val="single" w:color="auto" w:sz="4" w:space="0"/>
            </w:tcBorders>
            <w:vAlign w:val="center"/>
          </w:tcPr>
          <w:p>
            <w:pPr>
              <w:widowControl/>
              <w:spacing w:line="260" w:lineRule="exact"/>
              <w:rPr>
                <w:rFonts w:ascii="宋体" w:hAnsi="宋体"/>
                <w:bCs/>
                <w:szCs w:val="21"/>
              </w:rPr>
            </w:pPr>
            <w:r>
              <w:rPr>
                <w:rFonts w:hint="eastAsia" w:ascii="宋体" w:hAnsi="宋体" w:cs="宋体"/>
                <w:szCs w:val="21"/>
              </w:rPr>
              <w:t>总体情况（20分）</w:t>
            </w: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7分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1.检测能力：公司现有实验室设备需具备检测 pH，悬浮物(SS)，化学需氧量（CODCR)，总磷，总氮，氨氮（NH3-N），动植物油，粪大肠杆菌8项指标。以上8项指标需由投标人自行做出承诺。所有检测设备需具有实验室计量检测资格单位出具的计量校准证书，未提供的则该项不得分。具备的得3分，不具备不得分。</w:t>
            </w:r>
          </w:p>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2.实验室距离本项目服务区域远近，按距离远近由评委横向对比评分。0-4分</w:t>
            </w:r>
          </w:p>
        </w:tc>
      </w:tr>
      <w:tr>
        <w:tblPrEx>
          <w:tblCellMar>
            <w:top w:w="0" w:type="dxa"/>
            <w:left w:w="108" w:type="dxa"/>
            <w:bottom w:w="0" w:type="dxa"/>
            <w:right w:w="108" w:type="dxa"/>
          </w:tblCellMar>
        </w:tblPrEx>
        <w:trPr>
          <w:trHeight w:val="90"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r>
              <w:rPr>
                <w:rFonts w:hint="eastAsia" w:ascii="宋体" w:hAnsi="宋体" w:cs="宋体"/>
                <w:szCs w:val="21"/>
              </w:rPr>
              <w:t>3分</w:t>
            </w:r>
          </w:p>
        </w:tc>
        <w:tc>
          <w:tcPr>
            <w:tcW w:w="6018"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投标人具有ISO9001国际质量体系认证；ISO14001环境管理体系认证证书，OHSAS18001/ISO45001职业安全管理体系认证，每份得1分，共3分。提供有效期内的证书复印件。</w:t>
            </w:r>
          </w:p>
        </w:tc>
      </w:tr>
      <w:tr>
        <w:tblPrEx>
          <w:tblCellMar>
            <w:top w:w="0" w:type="dxa"/>
            <w:left w:w="108" w:type="dxa"/>
            <w:bottom w:w="0" w:type="dxa"/>
            <w:right w:w="108" w:type="dxa"/>
          </w:tblCellMar>
        </w:tblPrEx>
        <w:trPr>
          <w:trHeight w:val="90"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color w:val="FF0000"/>
                <w:szCs w:val="21"/>
              </w:rPr>
              <w:t>3</w:t>
            </w:r>
            <w:r>
              <w:rPr>
                <w:rFonts w:hint="eastAsia" w:ascii="宋体" w:hAnsi="宋体" w:cs="宋体"/>
                <w:szCs w:val="21"/>
              </w:rPr>
              <w:t>分</w:t>
            </w:r>
          </w:p>
        </w:tc>
        <w:tc>
          <w:tcPr>
            <w:tcW w:w="6018"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参与编制农村生活污水治理相关国家、行业标准或主编地方标准导则，参与编制农村生活污水治理相关国家工法或主编省级工法的，每项得3分；参与编制农村生活污水治理相关省级地方标准导则或省级工法的，每项得1.5分。此项最高3分（须提供证明材料复印件加盖单位公章编入投标文件，不提供不得分）</w:t>
            </w:r>
          </w:p>
        </w:tc>
      </w:tr>
      <w:tr>
        <w:tblPrEx>
          <w:tblCellMar>
            <w:top w:w="0" w:type="dxa"/>
            <w:left w:w="108" w:type="dxa"/>
            <w:bottom w:w="0" w:type="dxa"/>
            <w:right w:w="108" w:type="dxa"/>
          </w:tblCellMar>
        </w:tblPrEx>
        <w:trPr>
          <w:trHeight w:val="504"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r>
              <w:rPr>
                <w:rFonts w:hint="eastAsia" w:ascii="宋体" w:hAnsi="宋体" w:cs="宋体"/>
                <w:szCs w:val="21"/>
              </w:rPr>
              <w:t>2分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投标供应商作为中标单位或项目运维网点自2015年1月1日以来（合同签订时间为准）实际运维过同类项目，得2分。（提供相应业绩的合同扫描件加盖公章或中标通知书或相关实际运维过同类项目的证明材料）。同类项目系指农村生活污水处理设施一类运维工程（需要对1000个以上的处理设施或者日处理能力合计20000吨以上的处理设施进行运行维护的项目）。注：合同或中标通知书无法证明运维数量或规模的，可提供甲方的证明书。</w:t>
            </w:r>
          </w:p>
        </w:tc>
      </w:tr>
      <w:tr>
        <w:tblPrEx>
          <w:tblCellMar>
            <w:top w:w="0" w:type="dxa"/>
            <w:left w:w="108" w:type="dxa"/>
            <w:bottom w:w="0" w:type="dxa"/>
            <w:right w:w="108" w:type="dxa"/>
          </w:tblCellMar>
        </w:tblPrEx>
        <w:trPr>
          <w:trHeight w:val="411"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color w:val="FF0000"/>
                <w:szCs w:val="21"/>
              </w:rPr>
              <w:t>1</w:t>
            </w:r>
            <w:r>
              <w:rPr>
                <w:rFonts w:hint="eastAsia" w:ascii="宋体" w:hAnsi="宋体" w:cs="宋体"/>
                <w:szCs w:val="21"/>
              </w:rPr>
              <w:t>分</w:t>
            </w:r>
          </w:p>
        </w:tc>
        <w:tc>
          <w:tcPr>
            <w:tcW w:w="6018"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color w:val="auto"/>
                <w:szCs w:val="21"/>
              </w:rPr>
            </w:pPr>
            <w:r>
              <w:rPr>
                <w:rFonts w:hint="eastAsia" w:ascii="宋体" w:hAnsi="宋体" w:cs="宋体"/>
                <w:color w:val="auto"/>
                <w:szCs w:val="21"/>
              </w:rPr>
              <w:t>提供有效期内（投标截止日期前一周内）的信用中国查询界面截图，2016年起至今具有行政处罚的每个扣0.5分，扣完为止（以决定书发放之日为准）；行政处罚金额达到较大数额的，取消投标资格；本项满分1分。</w:t>
            </w:r>
          </w:p>
        </w:tc>
      </w:tr>
      <w:tr>
        <w:tblPrEx>
          <w:tblCellMar>
            <w:top w:w="0" w:type="dxa"/>
            <w:left w:w="108" w:type="dxa"/>
            <w:bottom w:w="0" w:type="dxa"/>
            <w:right w:w="108" w:type="dxa"/>
          </w:tblCellMar>
        </w:tblPrEx>
        <w:trPr>
          <w:trHeight w:val="1074"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rPr>
            </w:pPr>
          </w:p>
        </w:tc>
        <w:tc>
          <w:tcPr>
            <w:tcW w:w="67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szCs w:val="21"/>
              </w:rPr>
              <w:t>4分</w:t>
            </w:r>
          </w:p>
        </w:tc>
        <w:tc>
          <w:tcPr>
            <w:tcW w:w="6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szCs w:val="21"/>
              </w:rPr>
            </w:pPr>
            <w:r>
              <w:rPr>
                <w:rFonts w:hint="eastAsia" w:ascii="宋体" w:hAnsi="宋体" w:cs="宋体"/>
                <w:szCs w:val="21"/>
              </w:rPr>
              <w:t>投标人提供的2015年1月1日至今作为中标单位或项目运维网点获得国家级农村生活污水治理优秀县的一次得4分，最高得4分；获得省级农村生活污水治理优秀县的一次得2分，最高得4分；同一项目按最高级别得分计。本项最高4分。提供相关证明材料。（仅为协会颁发的荣誉不予认可，投标文件中附通报文件复印件）；</w:t>
            </w:r>
          </w:p>
        </w:tc>
      </w:tr>
      <w:tr>
        <w:tblPrEx>
          <w:tblCellMar>
            <w:top w:w="0" w:type="dxa"/>
            <w:left w:w="108" w:type="dxa"/>
            <w:bottom w:w="0" w:type="dxa"/>
            <w:right w:w="108" w:type="dxa"/>
          </w:tblCellMar>
        </w:tblPrEx>
        <w:trPr>
          <w:trHeight w:val="411" w:hRule="atLeast"/>
          <w:jc w:val="center"/>
        </w:trPr>
        <w:tc>
          <w:tcPr>
            <w:tcW w:w="87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rPr>
            </w:pPr>
            <w:r>
              <w:rPr>
                <w:rFonts w:hint="eastAsia" w:ascii="宋体" w:hAnsi="宋体" w:cs="宋体"/>
                <w:b/>
                <w:bCs/>
                <w:szCs w:val="21"/>
              </w:rPr>
              <w:t>备注：以上相关证书（有效）、合同等材料须提供复印件加盖公章。</w:t>
            </w:r>
          </w:p>
        </w:tc>
      </w:tr>
    </w:tbl>
    <w:p>
      <w:pPr>
        <w:pStyle w:val="9"/>
        <w:ind w:firstLine="210"/>
      </w:pPr>
    </w:p>
    <w:p/>
    <w:p>
      <w:pPr>
        <w:pStyle w:val="9"/>
        <w:ind w:firstLine="210"/>
      </w:pPr>
    </w:p>
    <w:p>
      <w:pPr>
        <w:pStyle w:val="20"/>
        <w:spacing w:line="480" w:lineRule="auto"/>
      </w:pPr>
    </w:p>
    <w:p>
      <w:pPr>
        <w:pStyle w:val="20"/>
        <w:spacing w:line="480" w:lineRule="auto"/>
      </w:pPr>
    </w:p>
    <w:p/>
    <w:p>
      <w:pPr>
        <w:pStyle w:val="2"/>
        <w:spacing w:before="120"/>
      </w:pPr>
    </w:p>
    <w:p>
      <w:pPr>
        <w:pStyle w:val="2"/>
        <w:spacing w:before="120"/>
      </w:pPr>
    </w:p>
    <w:p>
      <w:pPr>
        <w:pStyle w:val="2"/>
        <w:spacing w:before="120"/>
      </w:pPr>
    </w:p>
    <w:p>
      <w:pPr>
        <w:pStyle w:val="2"/>
        <w:spacing w:before="120"/>
        <w:rPr>
          <w:rFonts w:hint="eastAsia"/>
        </w:rPr>
      </w:pPr>
    </w:p>
    <w:p>
      <w:pPr>
        <w:pStyle w:val="2"/>
        <w:spacing w:before="120"/>
      </w:pPr>
    </w:p>
    <w:p>
      <w:pPr>
        <w:pStyle w:val="2"/>
        <w:spacing w:before="120"/>
      </w:pPr>
    </w:p>
    <w:bookmarkEnd w:id="32"/>
    <w:p>
      <w:pPr>
        <w:jc w:val="center"/>
        <w:outlineLvl w:val="1"/>
        <w:rPr>
          <w:rFonts w:asciiTheme="minorEastAsia" w:hAnsiTheme="minorEastAsia" w:eastAsiaTheme="minorEastAsia" w:cstheme="minorEastAsia"/>
          <w:b/>
          <w:sz w:val="24"/>
          <w:szCs w:val="24"/>
        </w:rPr>
      </w:pPr>
      <w:bookmarkStart w:id="33" w:name="_Toc7206"/>
      <w:bookmarkStart w:id="34" w:name="_Toc9582"/>
      <w:bookmarkStart w:id="35" w:name="_Toc20234"/>
      <w:bookmarkStart w:id="36" w:name="_Toc6496"/>
      <w:bookmarkStart w:id="37" w:name="_Toc12037"/>
      <w:bookmarkStart w:id="38" w:name="_Toc10398"/>
      <w:bookmarkStart w:id="39" w:name="_Toc31298"/>
      <w:bookmarkStart w:id="40" w:name="_Toc27781"/>
      <w:bookmarkStart w:id="41" w:name="_Toc24018"/>
      <w:bookmarkStart w:id="42" w:name="_Toc11191"/>
      <w:bookmarkStart w:id="43" w:name="_Toc19103"/>
      <w:bookmarkStart w:id="44" w:name="_Toc21912"/>
      <w:bookmarkStart w:id="45" w:name="_Toc26091"/>
      <w:bookmarkStart w:id="46" w:name="_Toc23525"/>
      <w:bookmarkStart w:id="47" w:name="_Toc6990"/>
      <w:bookmarkStart w:id="48" w:name="_Toc32740"/>
      <w:bookmarkStart w:id="49" w:name="_Toc459226642"/>
      <w:bookmarkStart w:id="50" w:name="_Toc23445"/>
      <w:bookmarkStart w:id="51" w:name="_Toc20439"/>
      <w:bookmarkStart w:id="52" w:name="_Toc15268"/>
      <w:bookmarkStart w:id="53" w:name="_Toc459223866"/>
      <w:bookmarkStart w:id="54" w:name="_Toc28971"/>
      <w:bookmarkStart w:id="55" w:name="_Toc459227625"/>
      <w:bookmarkStart w:id="56" w:name="_Toc7498"/>
      <w:bookmarkStart w:id="57" w:name="_Toc6991"/>
      <w:bookmarkStart w:id="58" w:name="_Toc25502"/>
      <w:bookmarkStart w:id="59" w:name="_Toc58"/>
      <w:bookmarkStart w:id="60" w:name="_Toc16341"/>
      <w:bookmarkStart w:id="61" w:name="_Toc459297232"/>
      <w:bookmarkStart w:id="62" w:name="_Toc30265"/>
      <w:bookmarkStart w:id="63" w:name="_Toc459227392"/>
      <w:bookmarkStart w:id="64" w:name="_Toc468535474"/>
      <w:bookmarkStart w:id="65" w:name="_Toc30102"/>
      <w:bookmarkStart w:id="66" w:name="_Toc7739"/>
      <w:bookmarkStart w:id="67" w:name="_Toc20210"/>
      <w:r>
        <w:rPr>
          <w:rFonts w:hint="eastAsia" w:asciiTheme="minorEastAsia" w:hAnsiTheme="minorEastAsia" w:eastAsiaTheme="minorEastAsia" w:cstheme="minorEastAsia"/>
          <w:b/>
          <w:sz w:val="24"/>
          <w:szCs w:val="24"/>
        </w:rPr>
        <w:t>第五章合同主要条款</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napToGrid w:val="0"/>
        <w:spacing w:beforeLines="50" w:afterLines="50"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（此稿为合同样本、以最终合同为准）</w:t>
      </w:r>
    </w:p>
    <w:p>
      <w:pPr>
        <w:pStyle w:val="11"/>
        <w:snapToGrid w:val="0"/>
        <w:spacing w:before="120" w:after="12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项目名称：安吉县农村生活污水处理设施运维服务政府采购项目</w:t>
      </w:r>
    </w:p>
    <w:p>
      <w:pPr>
        <w:pStyle w:val="11"/>
        <w:snapToGrid w:val="0"/>
        <w:spacing w:before="120" w:after="120" w:line="48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pPr>
        <w:pStyle w:val="11"/>
        <w:snapToGrid w:val="0"/>
        <w:spacing w:before="120" w:after="12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 </w:t>
      </w:r>
    </w:p>
    <w:p>
      <w:pPr>
        <w:spacing w:line="48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乙方：（中标人）</w:t>
      </w:r>
    </w:p>
    <w:p>
      <w:pPr>
        <w:pStyle w:val="11"/>
        <w:snapToGrid w:val="0"/>
        <w:spacing w:before="120" w:after="120" w:line="480" w:lineRule="exact"/>
        <w:ind w:firstLine="480" w:firstLineChars="200"/>
        <w:rPr>
          <w:rFonts w:asciiTheme="minorEastAsia" w:hAnsiTheme="minorEastAsia" w:eastAsiaTheme="minorEastAsia" w:cstheme="minorEastAsia"/>
          <w:b/>
        </w:rPr>
      </w:pPr>
      <w:bookmarkStart w:id="68" w:name="_Hlk53062102"/>
      <w:r>
        <w:rPr>
          <w:rFonts w:hint="eastAsia" w:asciiTheme="minorEastAsia" w:hAnsiTheme="minorEastAsia" w:eastAsiaTheme="minorEastAsia" w:cstheme="minorEastAsia"/>
        </w:rPr>
        <w:t>甲、乙双方根据《中华人民共和国政府采购法》、《中华人民共和国民法典》和安吉县农村生活污水处理设施运维服务政府采购项目招标文件的相关规定，双方达成一致签署本合同。</w:t>
      </w:r>
    </w:p>
    <w:p>
      <w:pPr>
        <w:pStyle w:val="11"/>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一、项目范围</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项目地点：</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项目内容：</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二、项目具体内容及要求</w:t>
      </w:r>
    </w:p>
    <w:p>
      <w:pPr>
        <w:pStyle w:val="11"/>
        <w:spacing w:before="120" w:after="120"/>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（详见招标文件第三章采购需求）</w:t>
      </w:r>
      <w:r>
        <w:rPr>
          <w:rFonts w:hint="eastAsia" w:asciiTheme="minorEastAsia" w:hAnsiTheme="minorEastAsia" w:eastAsiaTheme="minorEastAsia" w:cstheme="minorEastAsia"/>
        </w:rPr>
        <w:cr/>
      </w:r>
      <w:r>
        <w:rPr>
          <w:rFonts w:hint="eastAsia" w:asciiTheme="minorEastAsia" w:hAnsiTheme="minorEastAsia" w:eastAsiaTheme="minorEastAsia" w:cstheme="minorEastAsia"/>
          <w:b/>
          <w:bCs/>
        </w:rPr>
        <w:t>三、合同期限</w:t>
      </w:r>
    </w:p>
    <w:p>
      <w:pPr>
        <w:pStyle w:val="11"/>
        <w:snapToGrid w:val="0"/>
        <w:spacing w:before="120" w:after="120" w:line="360" w:lineRule="auto"/>
        <w:ind w:firstLine="480" w:firstLineChars="200"/>
        <w:rPr>
          <w:rFonts w:asciiTheme="minorEastAsia" w:hAnsiTheme="minorEastAsia" w:eastAsiaTheme="minorEastAsia" w:cstheme="minorEastAsia"/>
          <w:b/>
          <w:bCs/>
        </w:rPr>
      </w:pPr>
      <w:r>
        <w:rPr>
          <w:rFonts w:hint="eastAsia" w:ascii="仿宋" w:hAnsi="仿宋" w:eastAsia="仿宋" w:cs="仿宋"/>
          <w:color w:val="FF0000"/>
          <w:kern w:val="0"/>
          <w:szCs w:val="21"/>
        </w:rPr>
        <w:t>本次采购的运维服务期为一年，以签订合同之日起计算，即2021年 月 日至2022年 月 日。经采购人考核合格后可续签，最多可续签4次，最后一次续签截止时间为2025年10月31日</w:t>
      </w:r>
      <w:r>
        <w:rPr>
          <w:rFonts w:hint="eastAsia" w:asciiTheme="minorEastAsia" w:hAnsiTheme="minorEastAsia" w:eastAsiaTheme="minorEastAsia" w:cstheme="minorEastAsia"/>
          <w:b/>
          <w:bCs/>
        </w:rPr>
        <w:t>。</w:t>
      </w:r>
    </w:p>
    <w:bookmarkEnd w:id="68"/>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四、合同金额</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本项目暂定合同价为：</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全费用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元/年；（签订合同时可列入单价明细）</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总价暂估：大写：人民币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元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角</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分整/一年（</w:t>
      </w:r>
      <w:r>
        <w:rPr>
          <w:rFonts w:hint="eastAsia" w:asciiTheme="minorEastAsia" w:hAnsiTheme="minorEastAsia" w:eastAsiaTheme="minorEastAsia" w:cstheme="minorEastAsia"/>
          <w:sz w:val="24"/>
          <w:szCs w:val="24"/>
        </w:rPr>
        <w:t>小写：￥________________________元整/一年</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运维费用按各项单价×移交运维的实际户数或运维设施数×实际运维服务时间，结合考核结果计算。</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五、运维考核</w:t>
      </w:r>
    </w:p>
    <w:p>
      <w:pPr>
        <w:pStyle w:val="11"/>
        <w:spacing w:before="120" w:after="120"/>
        <w:ind w:firstLine="480" w:firstLineChars="200"/>
        <w:rPr>
          <w:rFonts w:ascii="仿宋" w:hAnsi="仿宋" w:eastAsia="仿宋" w:cs="仿宋"/>
          <w:kern w:val="0"/>
          <w:szCs w:val="21"/>
        </w:rPr>
      </w:pPr>
      <w:r>
        <w:rPr>
          <w:rFonts w:hint="eastAsia" w:ascii="仿宋" w:hAnsi="仿宋" w:eastAsia="仿宋" w:cs="仿宋"/>
          <w:kern w:val="0"/>
          <w:szCs w:val="21"/>
        </w:rPr>
        <w:t>安吉县住房和城乡建设局对成交供应商进行考核，考核结果作为支付成交供应商运维管理服务费的依据。年度考核得分90分（含90分）以上为优秀，运维资金全额支付；85分以上（含85分）、90分以下为良好，运维资金支付90%；80分以上（含80分）、85分以下为合格，运维资金支付70%；80分以下为不合格，运维资金不予支付，安吉县住房和城乡建设局有权终止合同并不再续签，履约保证金不予退还。（考核办法每年根据实际要求调整）。</w:t>
      </w:r>
    </w:p>
    <w:p>
      <w:pPr>
        <w:pStyle w:val="11"/>
        <w:spacing w:before="120" w:after="120"/>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六、付款方式</w:t>
      </w:r>
    </w:p>
    <w:p>
      <w:pPr>
        <w:pStyle w:val="11"/>
        <w:spacing w:before="120" w:after="120"/>
        <w:ind w:firstLine="480" w:firstLineChars="200"/>
        <w:rPr>
          <w:rFonts w:ascii="仿宋" w:hAnsi="仿宋" w:eastAsia="仿宋" w:cs="仿宋"/>
          <w:kern w:val="0"/>
          <w:szCs w:val="21"/>
        </w:rPr>
      </w:pPr>
      <w:r>
        <w:rPr>
          <w:rFonts w:hint="eastAsia" w:ascii="仿宋" w:hAnsi="仿宋" w:eastAsia="仿宋" w:cs="仿宋"/>
          <w:kern w:val="0"/>
          <w:szCs w:val="21"/>
        </w:rPr>
        <w:t>1、运维费付款方式：先服务后付费，不支付预付款。采购人根据中标价和考核结果向中标人付费，第一次11月份进行，第二次6月份进行，</w:t>
      </w:r>
      <w:r>
        <w:rPr>
          <w:rFonts w:hint="eastAsia" w:hAnsi="宋体"/>
          <w:color w:val="FF0000"/>
          <w:szCs w:val="21"/>
        </w:rPr>
        <w:t>在第一笔运维费用支付时扣除10万元作为保证金</w:t>
      </w:r>
      <w:r>
        <w:rPr>
          <w:rFonts w:hint="eastAsia" w:ascii="仿宋" w:hAnsi="仿宋" w:eastAsia="仿宋" w:cs="仿宋"/>
          <w:kern w:val="0"/>
          <w:szCs w:val="21"/>
        </w:rPr>
        <w:t>。运维费用计算方法：中标全费用单价×移交运维的实际数量×实际运维服务时间（天数），结合考核结果计算。</w:t>
      </w:r>
    </w:p>
    <w:p>
      <w:pPr>
        <w:pStyle w:val="11"/>
        <w:spacing w:before="120" w:after="120"/>
        <w:ind w:firstLine="480" w:firstLineChars="200"/>
        <w:rPr>
          <w:rFonts w:ascii="仿宋" w:hAnsi="仿宋" w:eastAsia="仿宋" w:cs="仿宋"/>
          <w:kern w:val="0"/>
          <w:szCs w:val="21"/>
        </w:rPr>
      </w:pPr>
      <w:r>
        <w:rPr>
          <w:rFonts w:hint="eastAsia" w:ascii="仿宋" w:hAnsi="仿宋" w:eastAsia="仿宋" w:cs="仿宋"/>
          <w:kern w:val="0"/>
          <w:szCs w:val="21"/>
        </w:rPr>
        <w:t>2、运维费发票中标人必须开具财税正式发票，否则不予支付。</w:t>
      </w:r>
    </w:p>
    <w:p>
      <w:pPr>
        <w:pStyle w:val="11"/>
        <w:spacing w:before="120" w:after="120"/>
        <w:ind w:firstLine="480" w:firstLineChars="200"/>
        <w:rPr>
          <w:rFonts w:ascii="仿宋" w:hAnsi="仿宋" w:eastAsia="仿宋" w:cs="仿宋"/>
          <w:kern w:val="0"/>
          <w:szCs w:val="21"/>
        </w:rPr>
      </w:pPr>
      <w:r>
        <w:rPr>
          <w:rFonts w:hint="eastAsia" w:ascii="仿宋" w:hAnsi="仿宋" w:eastAsia="仿宋" w:cs="仿宋"/>
          <w:kern w:val="0"/>
          <w:szCs w:val="21"/>
        </w:rPr>
        <w:t>3、最后一次运维费用的款项须等所有设备、资料移交后支付。</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七、履约保证金</w:t>
      </w:r>
    </w:p>
    <w:p>
      <w:pPr>
        <w:pStyle w:val="11"/>
        <w:snapToGrid w:val="0"/>
        <w:spacing w:before="120" w:after="120" w:line="360" w:lineRule="auto"/>
        <w:ind w:firstLine="480" w:firstLineChars="200"/>
        <w:rPr>
          <w:rFonts w:asciiTheme="minorEastAsia" w:hAnsiTheme="minorEastAsia" w:eastAsiaTheme="minorEastAsia" w:cstheme="minorEastAsia"/>
          <w:b/>
        </w:rPr>
      </w:pPr>
      <w:r>
        <w:rPr>
          <w:rFonts w:hint="eastAsia" w:asciiTheme="minorEastAsia" w:hAnsiTheme="minorEastAsia" w:eastAsiaTheme="minorEastAsia" w:cstheme="minorEastAsia"/>
        </w:rPr>
        <w:t>本项目无需缴纳履约保证金。</w:t>
      </w:r>
    </w:p>
    <w:p>
      <w:pPr>
        <w:pStyle w:val="11"/>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八、税费</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本合同执行中相关的一切税费均由乙方负担。</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九、甲方责任义务</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1、指导和协助乙方开展本项目的日常运维管理工作；</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2、对乙方设施运行维护的各项工作进行监督、检查、考核和提出合理要求，及时反馈检查情况、考核情况；</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3、对自检及上级有关部门检查出的问题及时督促乙方进行整改；</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4、帮助乙方协调解决本项目实施过程中产生的矛盾纠纷；</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rPr>
        <w:t>5、按合同规定及时向乙方支付本项目运维费用。</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 、</w:t>
      </w:r>
      <w:r>
        <w:rPr>
          <w:rFonts w:hint="eastAsia" w:asciiTheme="minorEastAsia" w:hAnsiTheme="minorEastAsia" w:eastAsiaTheme="minorEastAsia" w:cstheme="minorEastAsia"/>
          <w:u w:val="single"/>
        </w:rPr>
        <w:t xml:space="preserve">                                （根据双方协商根据实际情况补充）</w:t>
      </w:r>
      <w:r>
        <w:rPr>
          <w:rFonts w:hint="eastAsia" w:asciiTheme="minorEastAsia" w:hAnsiTheme="minorEastAsia" w:eastAsiaTheme="minorEastAsia" w:cstheme="minorEastAsia"/>
        </w:rPr>
        <w:t xml:space="preserve">                                </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十、乙方责任义务</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乙方须按照相应的服务质量管理标准，对设施的运行维护等各个环节进行严格的管理和服务，建立完善的工作管理制度、运行方案、应急预案和保障体系，执行服务质量保障措施和安全文明运维措施，合理安排工作人员及运维站所、设备、车辆、物资，确保运维管理工作安全运行。</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2、乙方需全程配合乡镇（街道）、行业主管单位等相关单位做好复查移交工作，并接收运维，运维人员、车辆、设备等按招标文件要求和投标文件中的承诺全部到位。</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3、乙方应确保本项目实施过程中，所有材料、设备以及养护、维修等作业符合国家和地方法律法规、符合相关行业技术标准；</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4、乙方应接受甲方及相关部门对本项目运维工作的检查、监督和考核，并按要求提供相关资料；</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5、乙方应配合甲方做好涉及本项目的数据资料整理、突发事件处置、技术提升改造、督查考核迎检等工作；</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6、乙方须对处理设施进、出水水质进行检测、评价，并做好运行情况记录，污水设施日常运行情况检查记录表；每月按时将上月的运行维护记录上报甲方和相关部门。</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7、乙方须根据操作规程对污水处理设施的处理工艺、运行情况、设备进行定期检查和维护，在合同终止时设施应保持完好状态。运行维护检查、管理内容详见招标文件。</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8、乙方发现设备运行异常情况须及时处理并上报甲方；设备的停用、报废、拆除等须经甲方批准后方可进行；发现进、出水水质、水量有异常，须采取相应措施，查找原因，及时解决并上报甲方。 </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9、因乙方运维管理不善，造成处理终端、提升井内机电设施(包括水泵、风机等)被盗或者受到破坏的、造成环境污染的、造成财产损失的，均须及时整改并上报甲方，由乙方承担赔偿责任和法律责任。</w:t>
      </w:r>
    </w:p>
    <w:p>
      <w:pPr>
        <w:spacing w:line="360" w:lineRule="auto"/>
        <w:ind w:firstLine="480" w:firstLineChars="200"/>
        <w:rPr>
          <w:rFonts w:asciiTheme="minorEastAsia" w:hAnsiTheme="minorEastAsia" w:eastAsiaTheme="minorEastAsia" w:cstheme="minorEastAsia"/>
          <w:bCs/>
          <w:sz w:val="24"/>
          <w:szCs w:val="24"/>
        </w:rPr>
      </w:pPr>
      <w:bookmarkStart w:id="69" w:name="_Toc238899178"/>
      <w:bookmarkStart w:id="70" w:name="_Toc238954292"/>
      <w:r>
        <w:rPr>
          <w:rFonts w:hint="eastAsia" w:asciiTheme="minorEastAsia" w:hAnsiTheme="minorEastAsia" w:eastAsiaTheme="minorEastAsia" w:cstheme="minorEastAsia"/>
          <w:sz w:val="24"/>
          <w:szCs w:val="24"/>
        </w:rPr>
        <w:t>10、终端处理系统出现人工湿地植物大面积缺株或机电设施维修不及时等问题，甲方或上级主管部门发出通知后，乙方仍不能按时完成整改的，扣除乙方相应的运行维护费用。</w:t>
      </w:r>
      <w:bookmarkEnd w:id="69"/>
      <w:bookmarkEnd w:id="70"/>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11、本项目实施过程中产生的污泥、垃圾等废弃物，压滤、运输、处置等费用由乙方承担。乙方需进行统一收集、按规范处置，并做好相关台账记录。</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12、运维期间上级行业主管部门颁布的新标准、新要求，乙方需要无条件接受。</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 、</w:t>
      </w:r>
      <w:r>
        <w:rPr>
          <w:rFonts w:hint="eastAsia" w:asciiTheme="minorEastAsia" w:hAnsiTheme="minorEastAsia" w:eastAsiaTheme="minorEastAsia" w:cstheme="minorEastAsia"/>
          <w:u w:val="single"/>
        </w:rPr>
        <w:t xml:space="preserve">                                           （根据双方协商补充）</w:t>
      </w:r>
      <w:r>
        <w:rPr>
          <w:rFonts w:hint="eastAsia" w:asciiTheme="minorEastAsia" w:hAnsiTheme="minorEastAsia" w:eastAsiaTheme="minorEastAsia" w:cstheme="minorEastAsia"/>
        </w:rPr>
        <w:t xml:space="preserve">  </w:t>
      </w:r>
    </w:p>
    <w:p>
      <w:pPr>
        <w:pStyle w:val="11"/>
        <w:spacing w:before="120" w:after="120"/>
        <w:rPr>
          <w:rFonts w:asciiTheme="minorEastAsia" w:hAnsiTheme="minorEastAsia" w:eastAsiaTheme="minorEastAsia" w:cstheme="minorEastAsia"/>
        </w:rPr>
      </w:pPr>
      <w:r>
        <w:rPr>
          <w:rFonts w:hint="eastAsia" w:asciiTheme="minorEastAsia" w:hAnsiTheme="minorEastAsia" w:eastAsiaTheme="minorEastAsia" w:cstheme="minorEastAsia"/>
          <w:b/>
          <w:bCs/>
        </w:rPr>
        <w:t>十一、转包或分包及其他</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1、如有转让和未经甲方同意的分包行为，甲方有权解除与乙方的合同，没收履约保证金并追究乙方的违约责任。</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2、对于运维质量不符合要求的，甲方先通知整改，乙方在五天内不整改的或整改不到位的，甲方有权利另行委派第三方进行整改，费用在乙方维护服务费中扣除。</w:t>
      </w:r>
    </w:p>
    <w:p>
      <w:pPr>
        <w:pStyle w:val="11"/>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3、本项目实施过程中，乙方如发生人身伤害、人员死亡、财产损失等安全责任事故，应及时按相关规定向甲方和有关部门报告，赔偿责任和法律责任由乙方承担。</w:t>
      </w:r>
    </w:p>
    <w:p>
      <w:pPr>
        <w:pStyle w:val="11"/>
        <w:spacing w:before="120" w:after="120" w:line="360" w:lineRule="auto"/>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4、本项目实施过程中，如由于乙方原因发生人身伤害、人员死亡、财产损失等第三方责任事故，乙方应及时按相关规定向甲方和有关部门报告，赔偿责任和法律责任由乙方承担。</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十二、违约责任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乙方未能如期提供服务的，每日向甲方支付合同款项的千分之五作为违约金，从履约保证金中扣除。乙方超过约定日期10个工作日仍不能提供服务的，甲方可解除本合同。乙方因未能如期提供服务或因其他违约行为导致甲方解除合同的，甲方有权扣除履约保证金，如造成甲方损失超过履约保证金的，超出部分由乙方继续承担赔偿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因运维问题导致出水不符合排放标准的，乙方除接受环保部门处罚外，应向甲方缴纳超标排放终端点位当月实际运维费用*2的违约金（违约金在当期应付运维费中扣除），如因超标排放造成甲方或第三方损失的由乙方负责赔偿。</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3、乙方向甲方提供拟派的运维人员名单备案。在项目实施过程中，如人员更换需经甲方同意。</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4、其它未约定的事项参照招标文件执行。</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十三、合同的解除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出现下列情况之一的，甲方有权单方面解除合同，乙方承担相应的损失赔偿和其他相关责任：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1、乙方签订合同后，未按招标文件的规定的内容及时间节点实施的，</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乙方未能按投标时的承诺期限内完成相关人员、设备、平台、站所等配置、建立的，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乙方在服务期内考核情况有不合格等级，甲方有权解除合同。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4、因运维管理原因，造成严重污染或发生重大安全事故。</w:t>
      </w:r>
    </w:p>
    <w:p>
      <w:pPr>
        <w:spacing w:line="360" w:lineRule="auto"/>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5、运维期间或上级部</w:t>
      </w:r>
      <w:r>
        <w:rPr>
          <w:rFonts w:hint="eastAsia" w:asciiTheme="minorEastAsia" w:hAnsiTheme="minorEastAsia" w:eastAsiaTheme="minorEastAsia" w:cstheme="minorEastAsia"/>
          <w:kern w:val="0"/>
          <w:sz w:val="24"/>
          <w:szCs w:val="24"/>
        </w:rPr>
        <w:t>门督查期间发生重大责任事件，甲方有权解除合同。</w:t>
      </w:r>
    </w:p>
    <w:p>
      <w:pPr>
        <w:pStyle w:val="11"/>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十四、不可抗力事件处理</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1、在合同有效期内，任何一方因不可抗力事件导致不能履行合同，则合同履行期可延长，其延长期与不可抗力影响期相同。</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2、不可抗力事件发生后，应立即通知对方，并寄送有关权威机构出具的证明。</w:t>
      </w:r>
    </w:p>
    <w:p>
      <w:pPr>
        <w:pStyle w:val="11"/>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3、不可抗力事件延续120天以上，双方应通过友好协商，确定是否继续履行合同。</w:t>
      </w:r>
    </w:p>
    <w:p>
      <w:pPr>
        <w:pStyle w:val="11"/>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十五、争议的解决</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双方在执行合同中所发生的一切争议，应通过协商解决。如协商不成，可向甲方所在地人民法院起诉。</w:t>
      </w:r>
    </w:p>
    <w:p>
      <w:pPr>
        <w:pStyle w:val="11"/>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十六、合同生效及其它</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1、合同经双方法定代表人或授权代表签字并加盖单位公章后生效。</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2、合同执行中涉及采购资金和采购内容修改或补充的，须经财政部门审批，并签书面补充协议报长兴县</w:t>
      </w:r>
      <w:r>
        <w:rPr>
          <w:rFonts w:hint="eastAsia" w:asciiTheme="minorEastAsia" w:hAnsiTheme="minorEastAsia" w:eastAsiaTheme="minorEastAsia" w:cstheme="minorEastAsia"/>
          <w:bCs/>
        </w:rPr>
        <w:t>财政局</w:t>
      </w:r>
      <w:r>
        <w:rPr>
          <w:rFonts w:hint="eastAsia" w:asciiTheme="minorEastAsia" w:hAnsiTheme="minorEastAsia" w:eastAsiaTheme="minorEastAsia" w:cstheme="minorEastAsia"/>
        </w:rPr>
        <w:t>备案，方可作为主合同不可分割的一部分。</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3、本合同未尽事宜，遵照《</w:t>
      </w:r>
      <w:r>
        <w:rPr>
          <w:rFonts w:hint="eastAsia" w:asciiTheme="minorEastAsia" w:hAnsiTheme="minorEastAsia" w:eastAsiaTheme="minorEastAsia" w:cstheme="minorEastAsia"/>
          <w:lang w:eastAsia="zh-CN"/>
        </w:rPr>
        <w:t>中华人民共和国民法典</w:t>
      </w:r>
      <w:r>
        <w:rPr>
          <w:rFonts w:hint="eastAsia" w:asciiTheme="minorEastAsia" w:hAnsiTheme="minorEastAsia" w:eastAsiaTheme="minorEastAsia" w:cstheme="minorEastAsia"/>
        </w:rPr>
        <w:t>》有关条文执行。</w:t>
      </w:r>
    </w:p>
    <w:p>
      <w:pPr>
        <w:pStyle w:val="11"/>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4、本合同正本一式六份,甲乙双方各三份，签订后30天内上传至政府采购云平台。</w:t>
      </w:r>
    </w:p>
    <w:p>
      <w:pPr>
        <w:snapToGrid w:val="0"/>
        <w:spacing w:line="480" w:lineRule="exact"/>
        <w:ind w:firstLine="240" w:firstLineChars="1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                                   乙方：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地址：                                   地址：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法定（授权）代表人：                     法定（授权）代表人：</w:t>
      </w:r>
    </w:p>
    <w:p>
      <w:pPr>
        <w:snapToGrid w:val="0"/>
        <w:spacing w:line="480" w:lineRule="exact"/>
        <w:ind w:firstLine="360" w:firstLineChars="15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签订日期：     年　  月　 日            签订日期：     年　  月　 日</w:t>
      </w:r>
    </w:p>
    <w:p>
      <w:pPr>
        <w:pStyle w:val="11"/>
        <w:snapToGrid w:val="0"/>
        <w:spacing w:before="120" w:after="120" w:line="420" w:lineRule="exac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11"/>
        <w:snapToGrid w:val="0"/>
        <w:spacing w:before="120" w:after="120" w:line="480" w:lineRule="exact"/>
        <w:rPr>
          <w:rFonts w:asciiTheme="minorEastAsia" w:hAnsiTheme="minorEastAsia" w:eastAsiaTheme="minorEastAsia" w:cstheme="minorEastAsia"/>
        </w:rPr>
      </w:pPr>
      <w:r>
        <w:rPr>
          <w:rFonts w:hint="eastAsia" w:asciiTheme="minorEastAsia" w:hAnsiTheme="minorEastAsia" w:eastAsiaTheme="minorEastAsia" w:cstheme="minorEastAsia"/>
          <w:b/>
          <w:bCs/>
          <w:u w:val="single"/>
          <w:shd w:val="pct10" w:color="auto" w:fill="FFFFFF"/>
        </w:rPr>
        <w:t>附件：附上报价明细表</w:t>
      </w:r>
    </w:p>
    <w:p>
      <w:pPr>
        <w:spacing w:line="360" w:lineRule="exact"/>
        <w:ind w:firstLine="420" w:firstLineChars="200"/>
        <w:contextualSpacing/>
        <w:rPr>
          <w:szCs w:val="21"/>
        </w:rPr>
      </w:pPr>
    </w:p>
    <w:p>
      <w:pPr>
        <w:pStyle w:val="20"/>
        <w:spacing w:line="480" w:lineRule="auto"/>
      </w:pPr>
      <w:bookmarkStart w:id="71" w:name="_Toc452125562"/>
    </w:p>
    <w:p>
      <w:pPr>
        <w:pStyle w:val="20"/>
        <w:spacing w:line="480" w:lineRule="auto"/>
      </w:pPr>
    </w:p>
    <w:p>
      <w:pPr>
        <w:pStyle w:val="20"/>
        <w:spacing w:line="480" w:lineRule="auto"/>
      </w:pPr>
    </w:p>
    <w:p>
      <w:pPr>
        <w:pStyle w:val="20"/>
        <w:spacing w:line="480" w:lineRule="auto"/>
      </w:pPr>
    </w:p>
    <w:p>
      <w:pPr>
        <w:pStyle w:val="20"/>
        <w:spacing w:line="480" w:lineRule="auto"/>
      </w:pPr>
    </w:p>
    <w:p>
      <w:pPr>
        <w:pStyle w:val="20"/>
        <w:spacing w:line="480" w:lineRule="auto"/>
      </w:pPr>
    </w:p>
    <w:p>
      <w:pPr>
        <w:pStyle w:val="20"/>
        <w:spacing w:line="480" w:lineRule="auto"/>
      </w:pPr>
    </w:p>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
        <w:spacing w:before="120"/>
      </w:pPr>
    </w:p>
    <w:p>
      <w:pPr>
        <w:pStyle w:val="20"/>
        <w:tabs>
          <w:tab w:val="left" w:pos="2991"/>
        </w:tabs>
        <w:spacing w:line="480" w:lineRule="auto"/>
        <w:jc w:val="left"/>
      </w:pPr>
      <w:r>
        <w:rPr>
          <w:rFonts w:hint="eastAsia"/>
        </w:rPr>
        <w:tab/>
      </w:r>
      <w:r>
        <w:rPr>
          <w:rFonts w:hint="eastAsia"/>
        </w:rPr>
        <w:t>第六章  投标文件格式附件</w:t>
      </w:r>
      <w:bookmarkEnd w:id="71"/>
    </w:p>
    <w:p>
      <w:pPr>
        <w:rPr>
          <w:rFonts w:ascii="宋体" w:hAnsi="宋体"/>
          <w:b/>
          <w:szCs w:val="21"/>
        </w:rPr>
      </w:pPr>
      <w:r>
        <w:rPr>
          <w:rFonts w:hint="eastAsia" w:ascii="宋体" w:hAnsi="宋体"/>
          <w:b/>
          <w:sz w:val="28"/>
          <w:szCs w:val="28"/>
        </w:rPr>
        <w:t xml:space="preserve">附件1：  </w:t>
      </w:r>
      <w:r>
        <w:rPr>
          <w:rFonts w:hint="eastAsia" w:ascii="宋体" w:hAnsi="宋体"/>
          <w:b/>
          <w:szCs w:val="21"/>
        </w:rPr>
        <w:t xml:space="preserve">                                                     正本或副本</w:t>
      </w:r>
    </w:p>
    <w:p>
      <w:pPr>
        <w:ind w:firstLine="525" w:firstLineChars="250"/>
        <w:rPr>
          <w:rFonts w:ascii="宋体" w:hAnsi="宋体"/>
          <w:szCs w:val="21"/>
        </w:rPr>
      </w:pPr>
      <w:r>
        <w:rPr>
          <w:rFonts w:ascii="宋体" w:hAnsi="宋体"/>
          <w:szCs w:val="21"/>
        </w:rPr>
        <w:t xml:space="preserve">                                            </w:t>
      </w:r>
    </w:p>
    <w:p>
      <w:pPr>
        <w:ind w:firstLine="525" w:firstLineChars="250"/>
        <w:jc w:val="center"/>
        <w:rPr>
          <w:rFonts w:ascii="宋体" w:hAnsi="宋体"/>
          <w:szCs w:val="21"/>
        </w:rPr>
      </w:pPr>
      <w:r>
        <w:rPr>
          <w:rFonts w:hint="eastAsia" w:ascii="宋体" w:hAnsi="宋体"/>
          <w:szCs w:val="21"/>
        </w:rPr>
        <w:t>***项目名称</w:t>
      </w:r>
    </w:p>
    <w:p>
      <w:pPr>
        <w:ind w:firstLine="525" w:firstLineChars="250"/>
        <w:jc w:val="center"/>
        <w:rPr>
          <w:rFonts w:ascii="宋体" w:hAnsi="宋体"/>
          <w:szCs w:val="21"/>
        </w:rPr>
      </w:pPr>
      <w:r>
        <w:rPr>
          <w:rFonts w:hint="eastAsia" w:ascii="宋体" w:hAnsi="宋体"/>
          <w:szCs w:val="21"/>
        </w:rPr>
        <w:t>项目编号：</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r>
        <w:rPr>
          <w:rFonts w:hint="eastAsia" w:ascii="宋体" w:hAnsi="宋体"/>
          <w:b/>
          <w:spacing w:val="40"/>
          <w:sz w:val="44"/>
          <w:szCs w:val="44"/>
        </w:rPr>
        <w:t>资</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及</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商</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文</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件</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rPr>
        <w:t>时    间：</w:t>
      </w:r>
    </w:p>
    <w:p>
      <w:pPr>
        <w:snapToGrid w:val="0"/>
        <w:spacing w:before="50" w:after="50"/>
        <w:rPr>
          <w:rFonts w:ascii="宋体" w:hAnsi="宋体"/>
          <w:sz w:val="32"/>
          <w:szCs w:val="32"/>
        </w:rPr>
      </w:pPr>
      <w:bookmarkStart w:id="72" w:name="_Toc249866813"/>
    </w:p>
    <w:p>
      <w:pPr>
        <w:snapToGrid w:val="0"/>
        <w:spacing w:before="50" w:after="50"/>
        <w:rPr>
          <w:rFonts w:ascii="宋体" w:hAnsi="宋体"/>
          <w:sz w:val="32"/>
          <w:szCs w:val="32"/>
        </w:rPr>
      </w:pPr>
    </w:p>
    <w:p>
      <w:pPr>
        <w:snapToGrid w:val="0"/>
        <w:spacing w:before="50" w:after="50"/>
        <w:rPr>
          <w:rFonts w:ascii="宋体" w:hAnsi="宋体"/>
          <w:b/>
          <w:szCs w:val="21"/>
        </w:rPr>
      </w:pPr>
    </w:p>
    <w:p>
      <w:pPr>
        <w:pStyle w:val="9"/>
        <w:ind w:firstLine="210"/>
      </w:pPr>
    </w:p>
    <w:p>
      <w:pPr>
        <w:snapToGrid w:val="0"/>
        <w:spacing w:before="50" w:after="50"/>
        <w:rPr>
          <w:rFonts w:ascii="宋体" w:hAnsi="宋体"/>
          <w:b/>
          <w:szCs w:val="21"/>
        </w:rPr>
      </w:pPr>
      <w:r>
        <w:rPr>
          <w:rFonts w:hint="eastAsia" w:ascii="宋体" w:hAnsi="宋体"/>
          <w:b/>
          <w:szCs w:val="21"/>
        </w:rPr>
        <w:t>1.资信及商务文件目录（仅供参考）</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资信文件：</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资信文件：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（2）法定代表人身份证明书(格式见附件)；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（3）法定代表人授权委托书(格式见附件)；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（4）授权代表社保花名册或者社保缴费凭证；</w:t>
      </w:r>
    </w:p>
    <w:p>
      <w:pPr>
        <w:spacing w:line="400" w:lineRule="exact"/>
        <w:ind w:firstLine="420" w:firstLineChars="200"/>
        <w:rPr>
          <w:rFonts w:ascii="宋体" w:hAnsi="宋体" w:cs="宋体"/>
          <w:kern w:val="1"/>
          <w:szCs w:val="21"/>
        </w:rPr>
      </w:pPr>
      <w:r>
        <w:rPr>
          <w:rFonts w:hint="eastAsia" w:ascii="宋体" w:hAnsi="宋体" w:cs="宋体"/>
          <w:kern w:val="1"/>
          <w:szCs w:val="21"/>
        </w:rPr>
        <w:t>（5）最近一个季度依法缴纳税收和社保费的证明[税费凭证复印件，或者依法缴纳税费或依法免缴税费的证明（复印件加盖公章，格式自拟）]</w:t>
      </w:r>
    </w:p>
    <w:p>
      <w:pPr>
        <w:spacing w:line="400" w:lineRule="exact"/>
        <w:ind w:firstLine="420" w:firstLineChars="200"/>
        <w:rPr>
          <w:rFonts w:ascii="宋体" w:hAnsi="宋体" w:cs="宋体"/>
          <w:kern w:val="1"/>
          <w:szCs w:val="21"/>
        </w:rPr>
      </w:pPr>
      <w:r>
        <w:rPr>
          <w:rFonts w:hint="eastAsia" w:ascii="宋体" w:hAnsi="宋体" w:cs="宋体"/>
          <w:kern w:val="1"/>
          <w:szCs w:val="21"/>
        </w:rPr>
        <w:t>（6）营业执照副本复印件（扫描件）；</w:t>
      </w:r>
    </w:p>
    <w:p>
      <w:pPr>
        <w:spacing w:line="400" w:lineRule="exact"/>
        <w:ind w:firstLine="420" w:firstLineChars="200"/>
        <w:rPr>
          <w:rFonts w:ascii="宋体" w:hAnsi="宋体" w:cs="宋体"/>
          <w:kern w:val="1"/>
          <w:szCs w:val="21"/>
        </w:rPr>
      </w:pPr>
      <w:r>
        <w:rPr>
          <w:rFonts w:hint="eastAsia" w:ascii="宋体" w:hAnsi="宋体" w:cs="宋体"/>
          <w:kern w:val="1"/>
          <w:szCs w:val="21"/>
        </w:rPr>
        <w:t>（7）中小微企业声明函（扫描件）；</w:t>
      </w:r>
    </w:p>
    <w:p>
      <w:pPr>
        <w:spacing w:line="400" w:lineRule="exact"/>
        <w:ind w:firstLine="420" w:firstLineChars="200"/>
        <w:rPr>
          <w:rFonts w:ascii="宋体" w:hAnsi="宋体" w:cs="宋体"/>
          <w:kern w:val="1"/>
          <w:szCs w:val="21"/>
        </w:rPr>
      </w:pPr>
      <w:r>
        <w:rPr>
          <w:rFonts w:hint="eastAsia" w:ascii="宋体" w:hAnsi="宋体" w:cs="宋体"/>
          <w:kern w:val="1"/>
          <w:szCs w:val="21"/>
        </w:rPr>
        <w:t>（8）至本项目投标截止时间前，投标人未列入失信被执行人、重大税收违法案件当事人名单、政府采购严重违法失信行为记录名单（以“信用中国”网站www.creditchina.gov.cn、“中国政府采购网”www.ccgp.gov.cn查询结果为准）</w:t>
      </w:r>
    </w:p>
    <w:p>
      <w:pPr>
        <w:spacing w:line="400" w:lineRule="exact"/>
        <w:ind w:firstLine="422" w:firstLineChars="200"/>
        <w:rPr>
          <w:rFonts w:ascii="宋体" w:hAnsi="宋体"/>
          <w:b/>
          <w:szCs w:val="21"/>
        </w:rPr>
      </w:pPr>
      <w:r>
        <w:rPr>
          <w:rFonts w:hint="eastAsia" w:ascii="宋体" w:hAnsi="宋体"/>
          <w:b/>
          <w:szCs w:val="21"/>
        </w:rPr>
        <w:t xml:space="preserve">    商务文件：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（1）投标人情况介绍（主要产品、技术力量等）；</w:t>
      </w:r>
    </w:p>
    <w:p>
      <w:pPr>
        <w:spacing w:line="400" w:lineRule="exact"/>
        <w:ind w:firstLine="420" w:firstLineChars="200"/>
        <w:rPr>
          <w:rFonts w:ascii="宋体" w:hAnsi="宋体" w:cs="宋体"/>
          <w:kern w:val="1"/>
          <w:szCs w:val="21"/>
        </w:rPr>
      </w:pPr>
      <w:r>
        <w:rPr>
          <w:rFonts w:hint="eastAsia" w:ascii="宋体" w:hAnsi="宋体" w:cs="宋体"/>
          <w:kern w:val="1"/>
          <w:szCs w:val="21"/>
        </w:rPr>
        <w:t>（2）类似成功案例的业绩证明（投标人同类项目实施情况一览表、合同复印件等）（格式见附件）；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（3）投标人实验室建设及检测情况（若有）；</w:t>
      </w:r>
    </w:p>
    <w:p>
      <w:pPr>
        <w:spacing w:line="400" w:lineRule="exact"/>
        <w:ind w:firstLine="420" w:firstLineChars="200"/>
        <w:rPr>
          <w:rFonts w:ascii="宋体" w:hAnsi="宋体" w:cs="宋体"/>
          <w:kern w:val="1"/>
          <w:szCs w:val="21"/>
        </w:rPr>
      </w:pPr>
      <w:r>
        <w:rPr>
          <w:rFonts w:hint="eastAsia" w:ascii="宋体" w:hAnsi="宋体" w:cs="宋体"/>
          <w:kern w:val="1"/>
          <w:szCs w:val="21"/>
        </w:rPr>
        <w:t>（4）投标人现有科技能力及行业成绩；</w:t>
      </w:r>
    </w:p>
    <w:p>
      <w:pPr>
        <w:spacing w:line="400" w:lineRule="exact"/>
        <w:ind w:firstLine="420" w:firstLineChars="200"/>
        <w:rPr>
          <w:rFonts w:ascii="宋体" w:hAnsi="宋体" w:cs="宋体"/>
          <w:kern w:val="1"/>
          <w:szCs w:val="21"/>
        </w:rPr>
      </w:pPr>
      <w:r>
        <w:rPr>
          <w:rFonts w:hint="eastAsia" w:ascii="宋体" w:hAnsi="宋体" w:cs="宋体"/>
          <w:kern w:val="1"/>
          <w:szCs w:val="21"/>
        </w:rPr>
        <w:t>（5）体系认证情况；</w:t>
      </w:r>
    </w:p>
    <w:p>
      <w:pPr>
        <w:spacing w:line="400" w:lineRule="exact"/>
        <w:ind w:firstLine="420" w:firstLineChars="200"/>
        <w:rPr>
          <w:rFonts w:ascii="宋体" w:hAnsi="宋体" w:cs="宋体"/>
          <w:kern w:val="1"/>
          <w:szCs w:val="21"/>
        </w:rPr>
      </w:pPr>
      <w:r>
        <w:rPr>
          <w:rFonts w:hint="eastAsia" w:ascii="宋体" w:hAnsi="宋体" w:cs="宋体"/>
          <w:kern w:val="1"/>
          <w:szCs w:val="21"/>
        </w:rPr>
        <w:t>（6）商务响应表（格式见附件）；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（7）投标人荣誉情况；</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（8）投标人信情况用；</w:t>
      </w:r>
    </w:p>
    <w:p>
      <w:pPr>
        <w:spacing w:line="400" w:lineRule="exact"/>
        <w:ind w:firstLine="420" w:firstLineChars="200"/>
        <w:rPr>
          <w:rFonts w:ascii="宋体" w:hAnsi="宋体" w:cs="宋体"/>
          <w:kern w:val="1"/>
          <w:szCs w:val="21"/>
        </w:rPr>
      </w:pPr>
      <w:r>
        <w:rPr>
          <w:rFonts w:hint="eastAsia" w:ascii="宋体" w:hAnsi="宋体" w:cs="宋体"/>
          <w:kern w:val="1"/>
          <w:szCs w:val="21"/>
        </w:rPr>
        <w:t>（9）投标方认为需要的其他文件资料；</w:t>
      </w:r>
    </w:p>
    <w:p>
      <w:pPr>
        <w:snapToGrid w:val="0"/>
        <w:spacing w:before="50" w:afterLines="50"/>
        <w:jc w:val="left"/>
        <w:rPr>
          <w:rFonts w:ascii="宋体" w:hAnsi="宋体"/>
          <w:b/>
          <w:sz w:val="28"/>
          <w:szCs w:val="28"/>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r>
        <w:rPr>
          <w:rFonts w:ascii="宋体" w:hAnsi="宋体"/>
          <w:sz w:val="30"/>
          <w:szCs w:val="30"/>
        </w:rPr>
        <w:br w:type="page"/>
      </w:r>
      <w:r>
        <w:rPr>
          <w:rFonts w:hint="eastAsia" w:ascii="宋体" w:hAnsi="宋体"/>
          <w:b/>
          <w:szCs w:val="21"/>
        </w:rPr>
        <w:t>附件1-1：</w:t>
      </w: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 标 声 明 书</w:t>
      </w:r>
    </w:p>
    <w:p>
      <w:pPr>
        <w:snapToGrid w:val="0"/>
        <w:spacing w:before="50" w:after="50"/>
        <w:jc w:val="center"/>
        <w:rPr>
          <w:rFonts w:ascii="仿宋" w:hAnsi="仿宋" w:eastAsia="仿宋"/>
          <w:b/>
          <w:sz w:val="28"/>
          <w:szCs w:val="28"/>
        </w:rPr>
      </w:pPr>
    </w:p>
    <w:p>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 xml:space="preserve">（投标人名称）               </w:t>
      </w:r>
      <w:r>
        <w:rPr>
          <w:rFonts w:hint="eastAsia" w:ascii="宋体" w:hAnsi="宋体" w:cs="宋体"/>
          <w:snapToGrid w:val="0"/>
          <w:kern w:val="0"/>
          <w:szCs w:val="21"/>
        </w:rPr>
        <w:t>系中华人民共和国合法企业，经营地址</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 xml:space="preserve"> （填项目名称），（项目编号： ）</w:t>
      </w:r>
      <w:r>
        <w:rPr>
          <w:rFonts w:hint="eastAsia" w:ascii="宋体" w:hAnsi="宋体" w:cs="宋体"/>
          <w:snapToGrid w:val="0"/>
          <w:kern w:val="0"/>
          <w:szCs w:val="21"/>
        </w:rPr>
        <w:t>的投标，为此，我方就本次投标有关事项郑重声明如下：</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pPr>
        <w:snapToGrid w:val="0"/>
        <w:ind w:right="600" w:firstLine="105" w:firstLineChars="50"/>
        <w:rPr>
          <w:rFonts w:ascii="宋体" w:hAnsi="宋体" w:cs="宋体"/>
          <w:szCs w:val="21"/>
        </w:rPr>
      </w:pP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法定代表人签名（或签名章）：</w:t>
      </w:r>
      <w:r>
        <w:rPr>
          <w:rFonts w:hint="eastAsia" w:ascii="宋体" w:hAnsi="宋体" w:cs="宋体"/>
          <w:szCs w:val="21"/>
          <w:u w:val="single"/>
        </w:rPr>
        <w:t xml:space="preserve">          </w:t>
      </w:r>
      <w:r>
        <w:rPr>
          <w:rFonts w:hint="eastAsia" w:ascii="宋体" w:hAnsi="宋体" w:cs="宋体"/>
          <w:szCs w:val="21"/>
        </w:rPr>
        <w:t xml:space="preserve">  </w:t>
      </w:r>
    </w:p>
    <w:p>
      <w:pPr>
        <w:pStyle w:val="29"/>
        <w:numPr>
          <w:ilvl w:val="0"/>
          <w:numId w:val="0"/>
        </w:numPr>
        <w:snapToGrid w:val="0"/>
        <w:spacing w:line="460" w:lineRule="exact"/>
        <w:rPr>
          <w:rFonts w:ascii="宋体" w:hAnsi="宋体" w:cs="宋体"/>
          <w:sz w:val="21"/>
          <w:szCs w:val="21"/>
        </w:rPr>
      </w:pPr>
    </w:p>
    <w:p>
      <w:pPr>
        <w:pStyle w:val="29"/>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snapToGrid w:val="0"/>
        <w:spacing w:line="460" w:lineRule="exact"/>
        <w:rPr>
          <w:rFonts w:ascii="宋体" w:hAnsi="宋体"/>
          <w:color w:val="000000"/>
          <w:szCs w:val="21"/>
          <w:u w:val="single"/>
        </w:rPr>
      </w:pPr>
    </w:p>
    <w:p>
      <w:pPr>
        <w:snapToGrid w:val="0"/>
        <w:spacing w:beforeLines="50" w:after="50" w:line="460" w:lineRule="exact"/>
        <w:ind w:firstLine="300" w:firstLineChars="100"/>
        <w:rPr>
          <w:rFonts w:ascii="宋体" w:hAnsi="宋体"/>
          <w:color w:val="000000"/>
          <w:sz w:val="30"/>
          <w:szCs w:val="30"/>
        </w:rPr>
      </w:pPr>
    </w:p>
    <w:p>
      <w:pPr>
        <w:snapToGrid w:val="0"/>
        <w:spacing w:beforeLines="50" w:after="50"/>
        <w:ind w:firstLine="150" w:firstLineChars="50"/>
        <w:jc w:val="left"/>
        <w:rPr>
          <w:rFonts w:ascii="宋体" w:hAnsi="宋体"/>
          <w:color w:val="000000"/>
          <w:sz w:val="30"/>
          <w:szCs w:val="30"/>
        </w:rPr>
      </w:pPr>
      <w:r>
        <w:rPr>
          <w:rFonts w:hint="eastAsia" w:ascii="宋体" w:hAnsi="宋体"/>
          <w:color w:val="000000"/>
          <w:sz w:val="30"/>
          <w:szCs w:val="30"/>
        </w:rPr>
        <w:br w:type="page"/>
      </w:r>
      <w:r>
        <w:rPr>
          <w:rFonts w:hint="eastAsia" w:ascii="宋体" w:hAnsi="宋体"/>
          <w:color w:val="000000"/>
          <w:sz w:val="30"/>
          <w:szCs w:val="30"/>
        </w:rPr>
        <w:t>附件1-2：</w:t>
      </w:r>
    </w:p>
    <w:p>
      <w:pPr>
        <w:snapToGrid w:val="0"/>
        <w:spacing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pPr>
        <w:snapToGrid w:val="0"/>
        <w:spacing w:beforeLines="50" w:after="50"/>
        <w:ind w:firstLine="105" w:firstLineChars="50"/>
        <w:rPr>
          <w:rFonts w:ascii="宋体" w:hAnsi="宋体"/>
          <w:szCs w:val="21"/>
        </w:rPr>
      </w:pPr>
    </w:p>
    <w:p>
      <w:pPr>
        <w:snapToGrid w:val="0"/>
        <w:spacing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pPr>
        <w:snapToGrid w:val="0"/>
        <w:spacing w:beforeLines="50" w:after="50"/>
        <w:rPr>
          <w:rFonts w:ascii="宋体" w:hAnsi="宋体"/>
          <w:szCs w:val="21"/>
        </w:rPr>
      </w:pPr>
      <w:r>
        <w:rPr>
          <w:rFonts w:hint="eastAsia" w:ascii="宋体" w:hAnsi="宋体"/>
          <w:szCs w:val="21"/>
        </w:rPr>
        <w:t xml:space="preserve">     </w:t>
      </w:r>
    </w:p>
    <w:p>
      <w:pPr>
        <w:snapToGrid w:val="0"/>
        <w:spacing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napToGrid w:val="0"/>
        <w:spacing w:beforeLines="50" w:after="50"/>
        <w:rPr>
          <w:rFonts w:ascii="宋体" w:hAnsi="宋体"/>
          <w:szCs w:val="21"/>
        </w:rPr>
      </w:pPr>
    </w:p>
    <w:p>
      <w:pPr>
        <w:snapToGrid w:val="0"/>
        <w:spacing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snapToGrid w:val="0"/>
        <w:spacing w:beforeLines="50" w:after="50"/>
        <w:rPr>
          <w:rFonts w:ascii="宋体" w:hAnsi="宋体"/>
          <w:szCs w:val="21"/>
        </w:rPr>
      </w:pPr>
    </w:p>
    <w:p>
      <w:pPr>
        <w:snapToGrid w:val="0"/>
        <w:spacing w:beforeLines="50" w:after="50"/>
        <w:rPr>
          <w:rFonts w:ascii="宋体" w:hAnsi="宋体"/>
          <w:szCs w:val="21"/>
        </w:rPr>
      </w:pPr>
      <w:r>
        <w:rPr>
          <w:rFonts w:hint="eastAsia" w:ascii="宋体" w:hAnsi="宋体"/>
          <w:szCs w:val="21"/>
        </w:rPr>
        <w:t>特此证明</w:t>
      </w:r>
    </w:p>
    <w:p>
      <w:pPr>
        <w:snapToGrid w:val="0"/>
        <w:spacing w:beforeLines="50" w:after="50"/>
        <w:rPr>
          <w:rFonts w:ascii="宋体" w:hAnsi="宋体"/>
          <w:szCs w:val="21"/>
        </w:rPr>
      </w:pPr>
    </w:p>
    <w:p>
      <w:pPr>
        <w:snapToGrid w:val="0"/>
        <w:spacing w:beforeLines="50" w:after="50"/>
        <w:rPr>
          <w:rFonts w:ascii="宋体" w:hAnsi="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napToGrid w:val="0"/>
        <w:spacing w:beforeLines="50" w:after="50"/>
        <w:jc w:val="center"/>
        <w:rPr>
          <w:rFonts w:ascii="宋体" w:hAnsi="宋体" w:cs="宋体"/>
          <w:szCs w:val="21"/>
        </w:rPr>
      </w:pPr>
      <w:r>
        <w:rPr>
          <w:rFonts w:hint="eastAsia" w:ascii="宋体" w:hAnsi="宋体" w:cs="宋体"/>
          <w:szCs w:val="21"/>
        </w:rPr>
        <w:t xml:space="preserve">   日期：    年   月   日</w:t>
      </w:r>
    </w:p>
    <w:p>
      <w:pPr>
        <w:snapToGrid w:val="0"/>
        <w:spacing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pPr>
        <w:snapToGrid w:val="0"/>
        <w:spacing w:beforeLines="50" w:after="50"/>
        <w:ind w:firstLine="3255" w:firstLineChars="1550"/>
        <w:rPr>
          <w:rFonts w:ascii="宋体" w:hAnsi="宋体"/>
          <w:szCs w:val="21"/>
        </w:rPr>
      </w:pPr>
      <w:r>
        <w:rPr>
          <w:rFonts w:hint="eastAsia" w:ascii="宋体" w:hAnsi="宋体"/>
          <w:szCs w:val="21"/>
        </w:rPr>
        <w:t>附法定代表人身份证复印件</w:t>
      </w: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50" w:after="50"/>
        <w:jc w:val="left"/>
        <w:rPr>
          <w:rFonts w:ascii="宋体" w:hAnsi="宋体"/>
          <w:b/>
          <w:sz w:val="28"/>
          <w:szCs w:val="28"/>
        </w:rPr>
      </w:pPr>
      <w:r>
        <w:rPr>
          <w:rFonts w:hint="eastAsia" w:ascii="宋体" w:hAnsi="宋体"/>
          <w:b/>
          <w:sz w:val="28"/>
          <w:szCs w:val="28"/>
        </w:rPr>
        <w:t>附件1-3：</w:t>
      </w:r>
    </w:p>
    <w:p>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pPr>
        <w:snapToGrid w:val="0"/>
        <w:spacing w:beforeLines="50" w:after="50"/>
        <w:jc w:val="center"/>
        <w:rPr>
          <w:rFonts w:ascii="宋体"/>
          <w:b/>
          <w:bCs/>
          <w:color w:val="000000"/>
          <w:sz w:val="30"/>
          <w:szCs w:val="30"/>
        </w:rPr>
      </w:pPr>
    </w:p>
    <w:p>
      <w:pPr>
        <w:snapToGrid w:val="0"/>
        <w:spacing w:beforeLines="50" w:after="50" w:line="460" w:lineRule="exact"/>
        <w:rPr>
          <w:rFonts w:ascii="宋体"/>
          <w:b/>
          <w:bCs/>
          <w:color w:val="000000"/>
        </w:rPr>
      </w:pPr>
      <w:r>
        <w:rPr>
          <w:rFonts w:hint="eastAsia" w:ascii="宋体" w:hAnsi="宋体" w:cs="宋体"/>
          <w:color w:val="000000"/>
        </w:rPr>
        <w:t>安吉县公共资源交易中心政府采购中心：</w:t>
      </w:r>
    </w:p>
    <w:p>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pPr>
        <w:snapToGrid w:val="0"/>
        <w:spacing w:line="460" w:lineRule="exact"/>
        <w:ind w:firstLine="480"/>
        <w:rPr>
          <w:rFonts w:ascii="宋体"/>
          <w:color w:val="000000"/>
        </w:rPr>
      </w:pPr>
      <w:r>
        <w:rPr>
          <w:rFonts w:hint="eastAsia" w:ascii="宋体" w:hAnsi="宋体" w:cs="宋体"/>
          <w:color w:val="000000"/>
        </w:rPr>
        <w:t>全权代表无转委托权，特此委托。</w:t>
      </w:r>
    </w:p>
    <w:p>
      <w:pPr>
        <w:snapToGrid w:val="0"/>
        <w:spacing w:line="460" w:lineRule="exact"/>
        <w:ind w:firstLine="480"/>
        <w:rPr>
          <w:rFonts w:ascii="宋体"/>
          <w:color w:val="000000"/>
        </w:rPr>
      </w:pPr>
    </w:p>
    <w:p>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pPr>
        <w:adjustRightInd w:val="0"/>
        <w:snapToGrid w:val="0"/>
        <w:spacing w:line="500" w:lineRule="exact"/>
        <w:rPr>
          <w:rFonts w:ascii="宋体"/>
          <w:color w:val="000000"/>
        </w:rPr>
      </w:pPr>
      <w:r>
        <w:rPr>
          <w:rFonts w:ascii="宋体" w:hAnsi="宋体" w:cs="宋体"/>
          <w:color w:val="000000"/>
        </w:rPr>
        <w:t xml:space="preserve">                             </w:t>
      </w:r>
    </w:p>
    <w:p>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供应商名称（盖章）：</w:t>
      </w:r>
    </w:p>
    <w:p>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pPr>
        <w:adjustRightInd w:val="0"/>
        <w:snapToGrid w:val="0"/>
        <w:spacing w:line="500" w:lineRule="exact"/>
        <w:jc w:val="center"/>
        <w:rPr>
          <w:rFonts w:ascii="宋体"/>
          <w:color w:val="000000"/>
        </w:rPr>
        <w:sectPr>
          <w:headerReference r:id="rId3" w:type="default"/>
          <w:footerReference r:id="rId4" w:type="default"/>
          <w:pgSz w:w="11906" w:h="16838"/>
          <w:pgMar w:top="1558" w:right="1531" w:bottom="1402" w:left="1531" w:header="851" w:footer="851" w:gutter="0"/>
          <w:pgNumType w:start="1"/>
          <w:cols w:space="720" w:num="1"/>
          <w:docGrid w:linePitch="312" w:charSpace="0"/>
        </w:sectPr>
      </w:pPr>
      <w:r>
        <w:rPr>
          <w:rFonts w:ascii="宋体" w:hAnsi="宋体" w:cs="宋体"/>
          <w:color w:val="000000"/>
        </w:rPr>
        <w:t xml:space="preserve">  </w:t>
      </w:r>
      <w:r>
        <w:rPr>
          <w:rFonts w:hint="eastAsia" w:ascii="宋体" w:hAnsi="宋体" w:cs="宋体"/>
          <w:color w:val="000000"/>
        </w:rPr>
        <w:t>附授权代表身份证复印件</w:t>
      </w:r>
    </w:p>
    <w:p>
      <w:pPr>
        <w:snapToGrid w:val="0"/>
        <w:spacing w:before="50" w:afterLines="50"/>
        <w:jc w:val="left"/>
        <w:rPr>
          <w:rFonts w:ascii="宋体" w:hAnsi="宋体" w:cs="宋体"/>
          <w:sz w:val="24"/>
        </w:rPr>
      </w:pPr>
      <w:r>
        <w:rPr>
          <w:rFonts w:hint="eastAsia" w:ascii="宋体" w:hAnsi="宋体"/>
          <w:b/>
          <w:sz w:val="28"/>
          <w:szCs w:val="28"/>
        </w:rPr>
        <w:t>附件1-4</w:t>
      </w:r>
      <w:r>
        <w:rPr>
          <w:rFonts w:hint="eastAsia"/>
          <w:b/>
          <w:szCs w:val="21"/>
        </w:rPr>
        <w:t>供应商的基本情况介绍</w:t>
      </w:r>
    </w:p>
    <w:p>
      <w:pPr>
        <w:adjustRightInd w:val="0"/>
        <w:snapToGrid w:val="0"/>
        <w:spacing w:line="360" w:lineRule="auto"/>
        <w:jc w:val="center"/>
        <w:rPr>
          <w:rFonts w:ascii="宋体" w:hAnsi="宋体" w:cs="宋体"/>
          <w:b/>
          <w:bCs/>
          <w:kern w:val="0"/>
          <w:sz w:val="24"/>
        </w:rPr>
      </w:pP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pPr>
        <w:spacing w:after="156" w:line="400" w:lineRule="exact"/>
        <w:jc w:val="left"/>
        <w:rPr>
          <w:rFonts w:ascii="宋体" w:hAnsi="宋体" w:cs="宋体"/>
          <w:kern w:val="1"/>
          <w:szCs w:val="21"/>
        </w:rPr>
      </w:pPr>
    </w:p>
    <w:p>
      <w:pPr>
        <w:spacing w:after="156" w:line="400" w:lineRule="exact"/>
        <w:jc w:val="left"/>
        <w:rPr>
          <w:rFonts w:ascii="宋体" w:hAnsi="宋体" w:cs="宋体"/>
          <w:kern w:val="1"/>
        </w:rPr>
      </w:pPr>
      <w:r>
        <w:rPr>
          <w:rFonts w:hint="eastAsia" w:ascii="宋体" w:hAnsi="宋体" w:cs="宋体"/>
          <w:kern w:val="1"/>
          <w:szCs w:val="21"/>
        </w:rPr>
        <w:t xml:space="preserve">项目名称：                      项目编号：          </w:t>
      </w:r>
    </w:p>
    <w:tbl>
      <w:tblPr>
        <w:tblStyle w:val="22"/>
        <w:tblW w:w="4997" w:type="pct"/>
        <w:tblInd w:w="0" w:type="dxa"/>
        <w:tblLayout w:type="autofit"/>
        <w:tblCellMar>
          <w:top w:w="0" w:type="dxa"/>
          <w:left w:w="108" w:type="dxa"/>
          <w:bottom w:w="0" w:type="dxa"/>
          <w:right w:w="108" w:type="dxa"/>
        </w:tblCellMar>
      </w:tblPr>
      <w:tblGrid>
        <w:gridCol w:w="1232"/>
        <w:gridCol w:w="1607"/>
        <w:gridCol w:w="254"/>
        <w:gridCol w:w="1353"/>
        <w:gridCol w:w="1110"/>
        <w:gridCol w:w="497"/>
        <w:gridCol w:w="1041"/>
        <w:gridCol w:w="567"/>
        <w:gridCol w:w="1619"/>
      </w:tblGrid>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公司名称</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注册资金</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网址</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地址、邮编</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传真</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企业性质</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成立时间</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主要业务范围</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法定代表人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u w:val="single"/>
              </w:rPr>
              <w:t>2</w:t>
            </w:r>
            <w:r>
              <w:rPr>
                <w:rFonts w:hint="eastAsia" w:ascii="宋体" w:hAnsi="宋体" w:cs="宋体"/>
                <w:kern w:val="1"/>
                <w:szCs w:val="21"/>
                <w:u w:val="single"/>
                <w:shd w:val="clear" w:color="auto" w:fill="FFFF00"/>
              </w:rPr>
              <w:t xml:space="preserve">0     </w:t>
            </w:r>
            <w:r>
              <w:rPr>
                <w:rFonts w:hint="eastAsia" w:ascii="宋体" w:hAnsi="宋体" w:cs="宋体"/>
                <w:kern w:val="1"/>
                <w:szCs w:val="21"/>
              </w:rPr>
              <w:t>年财务状况（万元）</w:t>
            </w:r>
          </w:p>
        </w:tc>
      </w:tr>
      <w:tr>
        <w:tblPrEx>
          <w:tblCellMar>
            <w:top w:w="0" w:type="dxa"/>
            <w:left w:w="108" w:type="dxa"/>
            <w:bottom w:w="0" w:type="dxa"/>
            <w:right w:w="108" w:type="dxa"/>
          </w:tblCellMar>
        </w:tblPrEx>
        <w:trPr>
          <w:trHeight w:val="64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总资产</w:t>
            </w: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负债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营业收入</w:t>
            </w: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净利润</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固定资产原值</w:t>
            </w:r>
          </w:p>
        </w:tc>
      </w:tr>
      <w:tr>
        <w:tblPrEx>
          <w:tblCellMar>
            <w:top w:w="0" w:type="dxa"/>
            <w:left w:w="108" w:type="dxa"/>
            <w:bottom w:w="0" w:type="dxa"/>
            <w:right w:w="108" w:type="dxa"/>
          </w:tblCellMar>
        </w:tblPrEx>
        <w:trPr>
          <w:trHeight w:val="39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人员结构</w:t>
            </w:r>
          </w:p>
        </w:tc>
      </w:tr>
      <w:tr>
        <w:tblPrEx>
          <w:tblCellMar>
            <w:top w:w="0" w:type="dxa"/>
            <w:left w:w="108" w:type="dxa"/>
            <w:bottom w:w="0" w:type="dxa"/>
            <w:right w:w="108" w:type="dxa"/>
          </w:tblCellMar>
        </w:tblPrEx>
        <w:trPr>
          <w:trHeight w:val="685"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总数</w:t>
            </w: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高级职称人数</w:t>
            </w: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r>
              <w:rPr>
                <w:rFonts w:hint="eastAsia" w:ascii="宋体" w:hAnsi="宋体" w:cs="宋体"/>
                <w:kern w:val="1"/>
                <w:szCs w:val="21"/>
              </w:rPr>
              <w:t>中级职称人数</w:t>
            </w: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初级职称人数</w:t>
            </w: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技术人员</w:t>
            </w: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其他</w:t>
            </w:r>
          </w:p>
        </w:tc>
      </w:tr>
      <w:tr>
        <w:tblPrEx>
          <w:tblCellMar>
            <w:top w:w="0" w:type="dxa"/>
            <w:left w:w="108" w:type="dxa"/>
            <w:bottom w:w="0" w:type="dxa"/>
            <w:right w:w="108" w:type="dxa"/>
          </w:tblCellMar>
        </w:tblPrEx>
        <w:trPr>
          <w:trHeight w:val="622"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2423" w:hRule="atLeast"/>
        </w:trPr>
        <w:tc>
          <w:tcPr>
            <w:tcW w:w="5000" w:type="pct"/>
            <w:gridSpan w:val="9"/>
            <w:tcBorders>
              <w:top w:val="single" w:color="000000" w:sz="4" w:space="0"/>
              <w:left w:val="single" w:color="000000" w:sz="4" w:space="0"/>
              <w:bottom w:val="single" w:color="000000" w:sz="4" w:space="0"/>
              <w:right w:val="single" w:color="000000" w:sz="4" w:space="0"/>
            </w:tcBorders>
          </w:tcPr>
          <w:p>
            <w:pPr>
              <w:rPr>
                <w:rFonts w:ascii="宋体" w:hAnsi="宋体" w:cs="宋体"/>
                <w:kern w:val="1"/>
                <w:szCs w:val="21"/>
              </w:rPr>
            </w:pPr>
            <w:r>
              <w:rPr>
                <w:rFonts w:hint="eastAsia" w:ascii="宋体" w:hAnsi="宋体" w:cs="宋体"/>
                <w:kern w:val="1"/>
                <w:szCs w:val="21"/>
              </w:rPr>
              <w:t>企业简介：</w:t>
            </w:r>
          </w:p>
        </w:tc>
      </w:tr>
    </w:tbl>
    <w:p>
      <w:pPr>
        <w:spacing w:line="300" w:lineRule="exact"/>
        <w:rPr>
          <w:rFonts w:ascii="微软雅黑" w:hAnsi="微软雅黑" w:eastAsia="微软雅黑"/>
        </w:rPr>
      </w:pPr>
      <w:r>
        <w:rPr>
          <w:rFonts w:ascii="微软雅黑" w:hAnsi="微软雅黑" w:eastAsia="微软雅黑"/>
        </w:rPr>
        <w:t xml:space="preserve">    </w:t>
      </w:r>
    </w:p>
    <w:p>
      <w:pPr>
        <w:jc w:val="left"/>
        <w:rPr>
          <w:rFonts w:ascii="宋体" w:hAnsi="宋体" w:cs="宋体"/>
          <w:kern w:val="1"/>
          <w:szCs w:val="21"/>
        </w:rPr>
      </w:pPr>
      <w:r>
        <w:rPr>
          <w:rFonts w:hint="eastAsia" w:ascii="宋体" w:hAnsi="宋体" w:cs="宋体"/>
          <w:b/>
          <w:kern w:val="1"/>
          <w:szCs w:val="21"/>
          <w:u w:val="single"/>
        </w:rPr>
        <w:t>注：附投标供应商财务报表（复印件加盖公章，原件备查）</w:t>
      </w:r>
      <w:r>
        <w:rPr>
          <w:rFonts w:hint="eastAsia" w:ascii="宋体" w:hAnsi="宋体" w:cs="宋体"/>
          <w:kern w:val="1"/>
          <w:szCs w:val="21"/>
        </w:rPr>
        <w:t>以证明企业的经营情况，可增行。</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宋体" w:hAnsi="宋体" w:cs="宋体"/>
          <w:szCs w:val="21"/>
        </w:rPr>
      </w:pPr>
      <w:r>
        <w:rPr>
          <w:rFonts w:hint="eastAsia" w:ascii="宋体" w:hAnsi="宋体" w:cs="宋体"/>
          <w:szCs w:val="21"/>
        </w:rPr>
        <w:t>日期：    年   月   日</w:t>
      </w:r>
    </w:p>
    <w:p>
      <w:pPr>
        <w:snapToGrid w:val="0"/>
        <w:spacing w:before="50" w:afterLines="50"/>
        <w:jc w:val="left"/>
        <w:rPr>
          <w:rFonts w:ascii="宋体" w:hAnsi="宋体"/>
          <w:b/>
          <w:sz w:val="28"/>
          <w:szCs w:val="28"/>
        </w:rPr>
      </w:pPr>
    </w:p>
    <w:p>
      <w:pPr>
        <w:snapToGrid w:val="0"/>
        <w:spacing w:before="50" w:afterLines="50"/>
        <w:jc w:val="left"/>
        <w:rPr>
          <w:rFonts w:ascii="宋体" w:hAnsi="宋体"/>
          <w:b/>
          <w:sz w:val="28"/>
          <w:szCs w:val="28"/>
        </w:rPr>
      </w:pPr>
      <w:r>
        <w:rPr>
          <w:rFonts w:hint="eastAsia" w:ascii="宋体" w:hAnsi="宋体"/>
          <w:b/>
          <w:sz w:val="28"/>
          <w:szCs w:val="28"/>
        </w:rPr>
        <w:t>附件1-5：</w:t>
      </w: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8"/>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ascii="宋体" w:hAnsi="宋体" w:cs="宋体"/>
          <w:color w:val="FF0000"/>
          <w:szCs w:val="21"/>
          <w:u w:val="single"/>
        </w:rPr>
        <w:t>其他未列明行业</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2"/>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ascii="宋体" w:hAnsi="宋体" w:cs="宋体"/>
          <w:color w:val="FF0000"/>
          <w:kern w:val="0"/>
          <w:sz w:val="18"/>
          <w:szCs w:val="18"/>
        </w:rPr>
        <w:t>其他未列明行业</w:t>
      </w:r>
      <w:r>
        <w:rPr>
          <w:rFonts w:hint="eastAsia" w:ascii="宋体" w:hAnsi="宋体" w:cs="宋体"/>
          <w:color w:val="FF0000"/>
          <w:kern w:val="0"/>
          <w:sz w:val="18"/>
          <w:szCs w:val="18"/>
        </w:rPr>
        <w:t>。</w:t>
      </w:r>
    </w:p>
    <w:p>
      <w:pPr>
        <w:widowControl/>
        <w:shd w:val="clear" w:color="auto" w:fill="FFFFFF"/>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2、</w:t>
      </w:r>
      <w:r>
        <w:rPr>
          <w:rStyle w:val="25"/>
          <w:rFonts w:hint="eastAsia" w:ascii="宋体" w:hAnsi="宋体" w:cs="宋体"/>
          <w:b w:val="0"/>
          <w:color w:val="000000"/>
          <w:kern w:val="0"/>
          <w:sz w:val="18"/>
          <w:szCs w:val="18"/>
        </w:rPr>
        <w:t>中小企业划分为中型、小型、微型三种类型，具体标准根据企业从业人员、营业收入、资产总额等指标，结合行业特点制定。行业划型标准为：</w:t>
      </w:r>
    </w:p>
    <w:p>
      <w:pPr>
        <w:pStyle w:val="19"/>
        <w:shd w:val="clear" w:color="auto" w:fill="FFFFFF"/>
        <w:spacing w:beforeAutospacing="0" w:afterAutospacing="0" w:line="360" w:lineRule="exact"/>
        <w:ind w:firstLine="361" w:firstLineChars="200"/>
        <w:rPr>
          <w:rFonts w:cs="宋体"/>
          <w:color w:val="FF0000"/>
          <w:sz w:val="18"/>
          <w:szCs w:val="18"/>
        </w:rPr>
      </w:pPr>
      <w:r>
        <w:rPr>
          <w:rStyle w:val="25"/>
          <w:rFonts w:cs="宋体"/>
          <w:color w:val="FF0000"/>
          <w:sz w:val="18"/>
          <w:szCs w:val="18"/>
        </w:rPr>
        <w:t>其他未列明行业</w:t>
      </w:r>
    </w:p>
    <w:p>
      <w:pPr>
        <w:pStyle w:val="19"/>
        <w:shd w:val="clear" w:color="auto" w:fill="FFFFFF"/>
        <w:spacing w:beforeAutospacing="0" w:afterAutospacing="0" w:line="360" w:lineRule="exact"/>
        <w:ind w:firstLine="360" w:firstLineChars="200"/>
        <w:jc w:val="both"/>
        <w:rPr>
          <w:rStyle w:val="25"/>
          <w:rFonts w:cs="宋体"/>
          <w:b w:val="0"/>
          <w:sz w:val="18"/>
          <w:szCs w:val="18"/>
        </w:rPr>
      </w:pPr>
      <w:r>
        <w:rPr>
          <w:rStyle w:val="25"/>
          <w:rFonts w:cs="宋体"/>
          <w:b w:val="0"/>
          <w:sz w:val="18"/>
          <w:szCs w:val="18"/>
        </w:rPr>
        <w:t>从业人员300人以下的为中小微型企业。其中，从业人员100人及以上的为中型企业；从业人员10人及以上的为小型企业；从业人员10人以下的为微型企业。其他未列明行业。从业人员300人以下的为中小微型企业。其中，从业人员100人及以上的为中型企业；从业人员10人及以上的为小型企业；从业人员10人以下的为微型企业。</w:t>
      </w: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pStyle w:val="19"/>
        <w:shd w:val="clear" w:color="auto" w:fill="FFFFFF"/>
        <w:spacing w:beforeAutospacing="0" w:afterAutospacing="0" w:line="360" w:lineRule="exact"/>
        <w:ind w:firstLine="360" w:firstLineChars="200"/>
        <w:jc w:val="both"/>
        <w:rPr>
          <w:rFonts w:cs="宋体"/>
          <w:sz w:val="18"/>
          <w:szCs w:val="18"/>
        </w:rPr>
      </w:pPr>
    </w:p>
    <w:p>
      <w:pPr>
        <w:snapToGrid w:val="0"/>
        <w:spacing w:before="50" w:after="50" w:line="500" w:lineRule="exact"/>
        <w:jc w:val="left"/>
        <w:rPr>
          <w:b/>
          <w:szCs w:val="21"/>
        </w:rPr>
      </w:pPr>
      <w:r>
        <w:rPr>
          <w:rFonts w:hint="eastAsia"/>
          <w:b/>
          <w:szCs w:val="21"/>
        </w:rPr>
        <w:t>附件1-6：</w:t>
      </w:r>
    </w:p>
    <w:p>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pPr>
        <w:snapToGrid w:val="0"/>
        <w:spacing w:before="50" w:after="50" w:line="380" w:lineRule="exact"/>
        <w:ind w:right="-817" w:rightChars="-389"/>
        <w:rPr>
          <w:rFonts w:ascii="宋体" w:hAnsi="宋体" w:cs="宋体"/>
          <w:b/>
          <w:sz w:val="24"/>
        </w:rPr>
      </w:pPr>
    </w:p>
    <w:p>
      <w:pPr>
        <w:spacing w:line="42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pStyle w:val="9"/>
        <w:ind w:firstLine="241"/>
        <w:rPr>
          <w:rFonts w:ascii="宋体" w:hAnsi="宋体" w:cs="宋体"/>
          <w:b/>
          <w:sz w:val="24"/>
        </w:rPr>
      </w:pPr>
    </w:p>
    <w:p>
      <w:pPr>
        <w:snapToGrid w:val="0"/>
        <w:spacing w:before="50" w:after="50" w:line="500" w:lineRule="exact"/>
        <w:jc w:val="left"/>
        <w:rPr>
          <w:b/>
          <w:szCs w:val="21"/>
        </w:rPr>
      </w:pPr>
      <w:r>
        <w:rPr>
          <w:rFonts w:hint="eastAsia"/>
          <w:b/>
          <w:szCs w:val="21"/>
        </w:rPr>
        <w:t>附件1-7</w:t>
      </w:r>
    </w:p>
    <w:p>
      <w:pPr>
        <w:pStyle w:val="9"/>
        <w:ind w:firstLine="210"/>
      </w:pPr>
    </w:p>
    <w:p>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pPr>
        <w:spacing w:line="600" w:lineRule="exact"/>
        <w:jc w:val="center"/>
        <w:rPr>
          <w:rFonts w:ascii="宋体" w:hAnsi="宋体" w:cs="宋体"/>
          <w:szCs w:val="21"/>
        </w:rPr>
      </w:pPr>
      <w:r>
        <w:rPr>
          <w:rFonts w:hint="eastAsia" w:ascii="宋体" w:hAnsi="宋体" w:cs="宋体"/>
          <w:szCs w:val="21"/>
        </w:rPr>
        <w:t>【非监狱企业的不用提供】</w:t>
      </w:r>
    </w:p>
    <w:p>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本企业为参加(项目名称:</w:t>
      </w:r>
      <w:r>
        <w:rPr>
          <w:rFonts w:hint="eastAsia" w:ascii="宋体" w:hAnsi="宋体" w:cs="宋体"/>
          <w:szCs w:val="21"/>
          <w:u w:val="single"/>
        </w:rPr>
        <w:t xml:space="preserve">                         </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)采购活动提供本企业的产品。</w:t>
      </w:r>
    </w:p>
    <w:p>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pPr>
        <w:spacing w:line="400" w:lineRule="exact"/>
        <w:rPr>
          <w:rFonts w:ascii="宋体" w:hAnsi="宋体" w:cs="宋体"/>
          <w:szCs w:val="21"/>
        </w:rPr>
      </w:pPr>
    </w:p>
    <w:p>
      <w:pPr>
        <w:pStyle w:val="9"/>
        <w:ind w:firstLine="210"/>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pStyle w:val="9"/>
        <w:ind w:firstLine="210"/>
      </w:pPr>
    </w:p>
    <w:p>
      <w:pPr>
        <w:spacing w:line="400" w:lineRule="exact"/>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附相关证明材料</w:t>
      </w:r>
    </w:p>
    <w:p>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9"/>
        <w:spacing w:after="0" w:line="400" w:lineRule="exact"/>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pStyle w:val="9"/>
        <w:ind w:firstLine="210"/>
        <w:rPr>
          <w:rFonts w:ascii="宋体" w:hAnsi="宋体" w:cs="宋体"/>
          <w:szCs w:val="21"/>
        </w:rPr>
      </w:pPr>
    </w:p>
    <w:p>
      <w:pPr>
        <w:snapToGrid w:val="0"/>
        <w:spacing w:before="50" w:after="50" w:line="500" w:lineRule="exact"/>
        <w:jc w:val="left"/>
        <w:rPr>
          <w:b/>
          <w:szCs w:val="21"/>
        </w:rPr>
      </w:pPr>
      <w:r>
        <w:rPr>
          <w:rFonts w:hint="eastAsia"/>
          <w:b/>
          <w:szCs w:val="21"/>
        </w:rPr>
        <w:t>附件1-8：</w:t>
      </w:r>
    </w:p>
    <w:p>
      <w:pPr>
        <w:pStyle w:val="17"/>
        <w:snapToGrid w:val="0"/>
        <w:ind w:left="643" w:hanging="643"/>
        <w:jc w:val="center"/>
        <w:rPr>
          <w:rFonts w:ascii="宋体" w:hAnsi="宋体"/>
          <w:b/>
          <w:sz w:val="32"/>
          <w:szCs w:val="32"/>
        </w:rPr>
      </w:pPr>
      <w:r>
        <w:rPr>
          <w:rFonts w:ascii="宋体" w:hAnsi="宋体"/>
          <w:b/>
          <w:sz w:val="32"/>
          <w:szCs w:val="32"/>
        </w:rPr>
        <w:t>同类项目实施情况一览表</w:t>
      </w:r>
    </w:p>
    <w:p>
      <w:pPr>
        <w:pStyle w:val="17"/>
        <w:snapToGrid w:val="0"/>
        <w:ind w:left="643" w:hanging="643"/>
        <w:jc w:val="center"/>
        <w:rPr>
          <w:rFonts w:ascii="宋体" w:hAnsi="宋体"/>
          <w:b/>
          <w:sz w:val="32"/>
          <w:szCs w:val="32"/>
        </w:rPr>
      </w:pPr>
    </w:p>
    <w:p>
      <w:pPr>
        <w:pStyle w:val="17"/>
        <w:snapToGrid w:val="0"/>
        <w:ind w:left="376" w:leftChars="-85" w:hanging="554" w:hangingChars="264"/>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tbl>
      <w:tblPr>
        <w:tblStyle w:val="2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929"/>
        <w:gridCol w:w="1385"/>
        <w:gridCol w:w="1573"/>
        <w:gridCol w:w="1170"/>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932" w:type="pct"/>
            <w:vAlign w:val="center"/>
          </w:tcPr>
          <w:p>
            <w:pPr>
              <w:snapToGrid w:val="0"/>
              <w:jc w:val="center"/>
              <w:rPr>
                <w:rFonts w:ascii="宋体" w:hAnsi="宋体" w:cs="宋体"/>
                <w:szCs w:val="21"/>
              </w:rPr>
            </w:pPr>
            <w:r>
              <w:rPr>
                <w:rFonts w:hint="eastAsia" w:ascii="宋体" w:hAnsi="宋体" w:cs="宋体"/>
                <w:szCs w:val="21"/>
              </w:rPr>
              <w:t>采购单位名称</w:t>
            </w:r>
          </w:p>
        </w:tc>
        <w:tc>
          <w:tcPr>
            <w:tcW w:w="1039" w:type="pct"/>
            <w:vAlign w:val="center"/>
          </w:tcPr>
          <w:p>
            <w:pPr>
              <w:snapToGrid w:val="0"/>
              <w:jc w:val="center"/>
              <w:rPr>
                <w:rFonts w:ascii="宋体" w:hAnsi="宋体" w:cs="宋体"/>
                <w:szCs w:val="21"/>
              </w:rPr>
            </w:pPr>
            <w:r>
              <w:rPr>
                <w:rFonts w:hint="eastAsia" w:ascii="宋体" w:hAnsi="宋体" w:cs="宋体"/>
                <w:szCs w:val="21"/>
              </w:rPr>
              <w:t>项目名称</w:t>
            </w:r>
          </w:p>
        </w:tc>
        <w:tc>
          <w:tcPr>
            <w:tcW w:w="746" w:type="pct"/>
            <w:vAlign w:val="center"/>
          </w:tcPr>
          <w:p>
            <w:pPr>
              <w:snapToGrid w:val="0"/>
              <w:jc w:val="center"/>
              <w:rPr>
                <w:rFonts w:ascii="宋体" w:hAnsi="宋体" w:cs="宋体"/>
                <w:szCs w:val="21"/>
              </w:rPr>
            </w:pPr>
            <w:r>
              <w:rPr>
                <w:rFonts w:hint="eastAsia" w:ascii="宋体" w:hAnsi="宋体" w:cs="宋体"/>
                <w:szCs w:val="21"/>
              </w:rPr>
              <w:t>项目规模（设施处理数量或日处理吨位）</w:t>
            </w:r>
          </w:p>
        </w:tc>
        <w:tc>
          <w:tcPr>
            <w:tcW w:w="847" w:type="pct"/>
            <w:vAlign w:val="center"/>
          </w:tcPr>
          <w:p>
            <w:pPr>
              <w:snapToGrid w:val="0"/>
              <w:jc w:val="center"/>
              <w:rPr>
                <w:rFonts w:ascii="宋体" w:hAnsi="宋体" w:cs="宋体"/>
                <w:szCs w:val="21"/>
              </w:rPr>
            </w:pPr>
            <w:r>
              <w:rPr>
                <w:rFonts w:hint="eastAsia" w:ascii="宋体" w:hAnsi="宋体" w:cs="宋体"/>
                <w:szCs w:val="21"/>
              </w:rPr>
              <w:t>合同复印件或中标通知书或验收报告</w:t>
            </w:r>
          </w:p>
        </w:tc>
        <w:tc>
          <w:tcPr>
            <w:tcW w:w="630" w:type="pct"/>
            <w:vAlign w:val="center"/>
          </w:tcPr>
          <w:p>
            <w:pPr>
              <w:snapToGrid w:val="0"/>
              <w:jc w:val="center"/>
              <w:rPr>
                <w:rFonts w:ascii="宋体" w:hAnsi="宋体" w:cs="宋体"/>
                <w:szCs w:val="21"/>
              </w:rPr>
            </w:pPr>
            <w:r>
              <w:rPr>
                <w:rFonts w:hint="eastAsia" w:ascii="宋体" w:hAnsi="宋体" w:cs="宋体"/>
                <w:szCs w:val="21"/>
              </w:rPr>
              <w:t>采购单位联系人及联系电话</w:t>
            </w:r>
          </w:p>
        </w:tc>
        <w:tc>
          <w:tcPr>
            <w:tcW w:w="803" w:type="pct"/>
            <w:vAlign w:val="center"/>
          </w:tcPr>
          <w:p>
            <w:pPr>
              <w:snapToGrid w:val="0"/>
              <w:jc w:val="center"/>
              <w:rPr>
                <w:rFonts w:ascii="宋体" w:hAnsi="宋体" w:cs="宋体"/>
                <w:szCs w:val="21"/>
              </w:rPr>
            </w:pPr>
            <w:r>
              <w:rPr>
                <w:rFonts w:hint="eastAsia" w:ascii="宋体" w:hAnsi="宋体" w:cs="宋体"/>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r>
              <w:rPr>
                <w:rFonts w:hint="eastAsia" w:ascii="宋体" w:hAnsi="宋体" w:cs="宋体"/>
                <w:szCs w:val="21"/>
              </w:rPr>
              <w:t>……</w:t>
            </w: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bl>
    <w:p>
      <w:pPr>
        <w:snapToGrid w:val="0"/>
        <w:spacing w:line="440" w:lineRule="exact"/>
        <w:rPr>
          <w:rFonts w:ascii="宋体" w:hAnsi="宋体" w:cs="宋体"/>
          <w:szCs w:val="21"/>
        </w:rPr>
      </w:pPr>
      <w:r>
        <w:rPr>
          <w:rFonts w:hint="eastAsia" w:ascii="宋体" w:hAnsi="宋体" w:cs="宋体"/>
          <w:szCs w:val="21"/>
        </w:rPr>
        <w:t>注：从2018年1月1日至今，以合同签订时间为准，提供合同复印件及验收报告复印件并加盖公章。</w:t>
      </w:r>
    </w:p>
    <w:p>
      <w:pPr>
        <w:snapToGrid w:val="0"/>
        <w:spacing w:line="440" w:lineRule="exact"/>
        <w:rPr>
          <w:rFonts w:ascii="宋体" w:cs="宋体"/>
          <w:szCs w:val="21"/>
        </w:rPr>
      </w:pPr>
    </w:p>
    <w:p>
      <w:pPr>
        <w:pStyle w:val="5"/>
        <w:snapToGrid w:val="0"/>
        <w:rPr>
          <w:rFonts w:ascii="宋体" w:hAnsi="宋体" w:eastAsia="宋体" w:cs="宋体"/>
          <w:sz w:val="21"/>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7"/>
        <w:snapToGrid w:val="0"/>
        <w:ind w:left="376" w:leftChars="-85" w:hanging="554" w:hangingChars="264"/>
        <w:rPr>
          <w:rFonts w:ascii="宋体" w:hAnsi="宋体"/>
          <w:szCs w:val="21"/>
          <w:u w:val="single"/>
        </w:rPr>
      </w:pPr>
    </w:p>
    <w:p>
      <w:pPr>
        <w:pStyle w:val="17"/>
        <w:snapToGrid w:val="0"/>
        <w:ind w:left="376" w:leftChars="-85" w:hanging="554" w:hangingChars="264"/>
        <w:rPr>
          <w:rFonts w:ascii="宋体" w:hAnsi="宋体"/>
          <w:szCs w:val="21"/>
          <w:u w:val="single"/>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pStyle w:val="9"/>
        <w:ind w:firstLine="281"/>
        <w:rPr>
          <w:rFonts w:ascii="宋体" w:hAnsi="宋体"/>
          <w:b/>
          <w:sz w:val="28"/>
          <w:szCs w:val="28"/>
        </w:rPr>
      </w:pPr>
    </w:p>
    <w:p>
      <w:pPr>
        <w:snapToGrid w:val="0"/>
        <w:spacing w:before="50" w:after="50" w:line="500" w:lineRule="exact"/>
        <w:jc w:val="left"/>
        <w:rPr>
          <w:b/>
          <w:szCs w:val="21"/>
        </w:rPr>
      </w:pPr>
      <w:r>
        <w:rPr>
          <w:rFonts w:hint="eastAsia"/>
          <w:b/>
          <w:szCs w:val="21"/>
        </w:rPr>
        <w:t>附件1-9：</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企 业 荣 誉 情 况 表</w:t>
      </w:r>
    </w:p>
    <w:p>
      <w:pPr>
        <w:spacing w:line="360" w:lineRule="auto"/>
        <w:rPr>
          <w:rFonts w:ascii="宋体" w:cs="宋体"/>
          <w:spacing w:val="14"/>
          <w:szCs w:val="21"/>
        </w:rPr>
      </w:pPr>
    </w:p>
    <w:p>
      <w:pPr>
        <w:pStyle w:val="5"/>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 ：</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538"/>
        <w:gridCol w:w="1540"/>
        <w:gridCol w:w="1733"/>
        <w:gridCol w:w="1926"/>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r>
              <w:rPr>
                <w:rFonts w:hint="eastAsia" w:ascii="宋体" w:hAnsi="宋体" w:cs="宋体"/>
                <w:bCs/>
                <w:szCs w:val="21"/>
              </w:rPr>
              <w:t>序号</w:t>
            </w:r>
          </w:p>
        </w:tc>
        <w:tc>
          <w:tcPr>
            <w:tcW w:w="828" w:type="pct"/>
            <w:vAlign w:val="center"/>
          </w:tcPr>
          <w:p>
            <w:pPr>
              <w:jc w:val="center"/>
              <w:rPr>
                <w:rFonts w:ascii="宋体" w:cs="宋体"/>
                <w:bCs/>
                <w:szCs w:val="21"/>
              </w:rPr>
            </w:pPr>
            <w:r>
              <w:rPr>
                <w:rFonts w:hint="eastAsia" w:ascii="宋体" w:hAnsi="宋体" w:cs="宋体"/>
                <w:bCs/>
                <w:szCs w:val="21"/>
              </w:rPr>
              <w:t>证书名称</w:t>
            </w:r>
          </w:p>
        </w:tc>
        <w:tc>
          <w:tcPr>
            <w:tcW w:w="829" w:type="pct"/>
            <w:vAlign w:val="center"/>
          </w:tcPr>
          <w:p>
            <w:pPr>
              <w:jc w:val="center"/>
              <w:rPr>
                <w:rFonts w:ascii="宋体" w:cs="宋体"/>
                <w:bCs/>
                <w:szCs w:val="21"/>
              </w:rPr>
            </w:pPr>
            <w:r>
              <w:rPr>
                <w:rFonts w:hint="eastAsia" w:ascii="宋体" w:hAnsi="宋体" w:cs="宋体"/>
                <w:bCs/>
                <w:szCs w:val="21"/>
              </w:rPr>
              <w:t>颁发机构</w:t>
            </w:r>
          </w:p>
        </w:tc>
        <w:tc>
          <w:tcPr>
            <w:tcW w:w="933" w:type="pct"/>
            <w:vAlign w:val="center"/>
          </w:tcPr>
          <w:p>
            <w:pPr>
              <w:jc w:val="center"/>
              <w:rPr>
                <w:rFonts w:ascii="宋体" w:cs="宋体"/>
                <w:bCs/>
                <w:szCs w:val="21"/>
              </w:rPr>
            </w:pPr>
            <w:r>
              <w:rPr>
                <w:rFonts w:hint="eastAsia" w:ascii="宋体" w:hAnsi="宋体" w:cs="宋体"/>
                <w:bCs/>
                <w:szCs w:val="21"/>
              </w:rPr>
              <w:t>颁发时间</w:t>
            </w:r>
          </w:p>
        </w:tc>
        <w:tc>
          <w:tcPr>
            <w:tcW w:w="1037" w:type="pct"/>
            <w:vAlign w:val="center"/>
          </w:tcPr>
          <w:p>
            <w:pPr>
              <w:jc w:val="center"/>
              <w:rPr>
                <w:rFonts w:ascii="宋体" w:cs="宋体"/>
                <w:bCs/>
                <w:szCs w:val="21"/>
              </w:rPr>
            </w:pPr>
            <w:r>
              <w:rPr>
                <w:rFonts w:hint="eastAsia" w:ascii="宋体" w:hAnsi="宋体" w:cs="宋体"/>
                <w:bCs/>
                <w:szCs w:val="21"/>
              </w:rPr>
              <w:t>有效期截止日期</w:t>
            </w:r>
          </w:p>
        </w:tc>
        <w:tc>
          <w:tcPr>
            <w:tcW w:w="900" w:type="pct"/>
            <w:vAlign w:val="center"/>
          </w:tcPr>
          <w:p>
            <w:pPr>
              <w:jc w:val="center"/>
              <w:rPr>
                <w:rFonts w:ascii="宋体" w:cs="宋体"/>
                <w:bCs/>
                <w:szCs w:val="21"/>
              </w:rPr>
            </w:pPr>
            <w:r>
              <w:rPr>
                <w:rFonts w:hint="eastAsia" w:ascii="宋体" w:cs="宋体"/>
                <w:bCs/>
                <w:szCs w:val="21"/>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r>
              <w:rPr>
                <w:rFonts w:hint="eastAsia" w:ascii="宋体" w:cs="宋体"/>
                <w:bCs/>
                <w:szCs w:val="21"/>
              </w:rPr>
              <w:t>......</w:t>
            </w: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bl>
    <w:p>
      <w:pPr>
        <w:spacing w:line="440" w:lineRule="exact"/>
        <w:rPr>
          <w:rFonts w:ascii="宋体" w:cs="宋体"/>
          <w:szCs w:val="21"/>
        </w:rPr>
      </w:pPr>
      <w:r>
        <w:rPr>
          <w:rFonts w:hint="eastAsia" w:ascii="宋体" w:hAnsi="宋体" w:cs="宋体"/>
          <w:szCs w:val="21"/>
        </w:rPr>
        <w:t>注：</w:t>
      </w:r>
    </w:p>
    <w:p>
      <w:pPr>
        <w:spacing w:line="440" w:lineRule="exact"/>
        <w:rPr>
          <w:rFonts w:ascii="宋体" w:cs="宋体"/>
          <w:szCs w:val="21"/>
        </w:rPr>
      </w:pPr>
      <w:r>
        <w:rPr>
          <w:rFonts w:ascii="宋体" w:hAnsi="宋体" w:cs="宋体"/>
          <w:szCs w:val="21"/>
        </w:rPr>
        <w:t>1</w:t>
      </w:r>
      <w:r>
        <w:rPr>
          <w:rFonts w:hint="eastAsia" w:ascii="宋体" w:hAnsi="宋体" w:cs="宋体"/>
          <w:szCs w:val="21"/>
        </w:rPr>
        <w:t>、企业荣誉须附荣誉证书和荣誉通报文件（如有），仅为协会颁发的荣誉不予认可；</w:t>
      </w:r>
    </w:p>
    <w:p>
      <w:pPr>
        <w:spacing w:line="440" w:lineRule="exact"/>
        <w:rPr>
          <w:rFonts w:ascii="宋体" w:cs="宋体"/>
          <w:szCs w:val="21"/>
        </w:rPr>
      </w:pPr>
      <w:r>
        <w:rPr>
          <w:rFonts w:ascii="宋体" w:hAnsi="宋体" w:cs="宋体"/>
          <w:szCs w:val="21"/>
        </w:rPr>
        <w:t>2</w:t>
      </w:r>
      <w:r>
        <w:rPr>
          <w:rFonts w:hint="eastAsia" w:ascii="宋体" w:hAnsi="宋体" w:cs="宋体"/>
          <w:szCs w:val="21"/>
        </w:rPr>
        <w:t>、此表仅提供了表格形式，投标人应根据需要准备足够数量的表格来填写。</w:t>
      </w:r>
    </w:p>
    <w:p>
      <w:pPr>
        <w:spacing w:line="440" w:lineRule="exact"/>
        <w:rPr>
          <w:rFonts w:ascii="宋体" w:cs="宋体"/>
          <w:szCs w:val="21"/>
        </w:rPr>
      </w:pPr>
      <w:r>
        <w:rPr>
          <w:rFonts w:ascii="宋体" w:hAnsi="宋体" w:cs="宋体"/>
          <w:szCs w:val="21"/>
        </w:rPr>
        <w:t>3</w:t>
      </w:r>
      <w:r>
        <w:rPr>
          <w:rFonts w:hint="eastAsia" w:ascii="宋体" w:hAnsi="宋体" w:cs="宋体"/>
          <w:szCs w:val="21"/>
        </w:rPr>
        <w:t>、应附证书复印件并加盖公章，原件随带备查。</w:t>
      </w:r>
    </w:p>
    <w:p>
      <w:pPr>
        <w:snapToGrid w:val="0"/>
        <w:spacing w:line="440" w:lineRule="exact"/>
        <w:rPr>
          <w:rFonts w:asci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9"/>
        <w:ind w:firstLine="210"/>
        <w:rPr>
          <w:rFonts w:ascii="微软雅黑" w:hAnsi="微软雅黑" w:eastAsia="微软雅黑"/>
        </w:rPr>
      </w:pPr>
    </w:p>
    <w:p>
      <w:pPr>
        <w:pStyle w:val="9"/>
        <w:ind w:firstLine="210"/>
        <w:rPr>
          <w:rFonts w:ascii="微软雅黑" w:hAnsi="微软雅黑" w:eastAsia="微软雅黑"/>
        </w:rPr>
      </w:pPr>
    </w:p>
    <w:p>
      <w:pPr>
        <w:snapToGrid w:val="0"/>
        <w:spacing w:before="50" w:after="50" w:line="500" w:lineRule="exact"/>
        <w:jc w:val="left"/>
        <w:rPr>
          <w:b/>
          <w:szCs w:val="21"/>
        </w:rPr>
      </w:pPr>
      <w:r>
        <w:rPr>
          <w:rFonts w:hint="eastAsia"/>
          <w:b/>
          <w:szCs w:val="21"/>
        </w:rPr>
        <w:t>附件1-10：</w:t>
      </w:r>
      <w:r>
        <w:rPr>
          <w:rFonts w:hint="eastAsia" w:ascii="宋体" w:hAnsi="宋体" w:cs="宋体"/>
          <w:kern w:val="1"/>
          <w:szCs w:val="21"/>
        </w:rPr>
        <w:t>企业认证情况</w:t>
      </w:r>
    </w:p>
    <w:p>
      <w:pPr>
        <w:pStyle w:val="9"/>
        <w:ind w:firstLine="210"/>
        <w:rPr>
          <w:rFonts w:ascii="微软雅黑" w:hAnsi="微软雅黑" w:eastAsia="微软雅黑"/>
        </w:rPr>
      </w:pPr>
    </w:p>
    <w:p>
      <w:pPr>
        <w:spacing w:line="400" w:lineRule="exact"/>
        <w:rPr>
          <w:rFonts w:ascii="宋体" w:hAnsi="宋体" w:cs="宋体"/>
          <w:szCs w:val="21"/>
        </w:rPr>
      </w:pPr>
    </w:p>
    <w:p>
      <w:pPr>
        <w:spacing w:line="360" w:lineRule="auto"/>
        <w:jc w:val="center"/>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spacing w:line="360" w:lineRule="auto"/>
        <w:jc w:val="left"/>
        <w:rPr>
          <w:rFonts w:ascii="宋体" w:hAnsi="宋体"/>
          <w:szCs w:val="21"/>
        </w:rPr>
      </w:pPr>
    </w:p>
    <w:p>
      <w:pPr>
        <w:pStyle w:val="9"/>
        <w:ind w:firstLine="211"/>
        <w:jc w:val="left"/>
        <w:rPr>
          <w:b/>
          <w:szCs w:val="21"/>
        </w:rPr>
      </w:pPr>
    </w:p>
    <w:p>
      <w:pPr>
        <w:snapToGrid w:val="0"/>
        <w:spacing w:before="50"/>
        <w:jc w:val="left"/>
        <w:rPr>
          <w:rFonts w:ascii="宋体" w:hAnsi="宋体"/>
          <w:b/>
          <w:sz w:val="28"/>
          <w:szCs w:val="28"/>
        </w:rPr>
      </w:pPr>
    </w:p>
    <w:p>
      <w:pPr>
        <w:snapToGrid w:val="0"/>
        <w:spacing w:before="50" w:after="50" w:line="500" w:lineRule="exact"/>
        <w:jc w:val="left"/>
        <w:rPr>
          <w:b/>
          <w:szCs w:val="21"/>
        </w:rPr>
      </w:pPr>
      <w:r>
        <w:rPr>
          <w:rFonts w:hint="eastAsia"/>
          <w:b/>
          <w:szCs w:val="21"/>
        </w:rPr>
        <w:t>附件1-11：</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资信商务响应表</w:t>
      </w:r>
    </w:p>
    <w:p>
      <w:pPr>
        <w:pStyle w:val="4"/>
        <w:tabs>
          <w:tab w:val="left" w:pos="4477"/>
        </w:tabs>
        <w:spacing w:line="400" w:lineRule="exact"/>
        <w:ind w:firstLine="0"/>
        <w:rPr>
          <w:rFonts w:ascii="微软雅黑" w:hAnsi="微软雅黑" w:eastAsia="微软雅黑"/>
          <w:szCs w:val="21"/>
        </w:rPr>
      </w:pPr>
    </w:p>
    <w:p>
      <w:pPr>
        <w:pStyle w:val="4"/>
        <w:tabs>
          <w:tab w:val="left" w:pos="4477"/>
        </w:tabs>
        <w:spacing w:line="400" w:lineRule="exact"/>
        <w:ind w:firstLine="0"/>
        <w:rPr>
          <w:szCs w:val="21"/>
        </w:rPr>
      </w:pPr>
      <w:r>
        <w:rPr>
          <w:rFonts w:hint="eastAsia"/>
          <w:szCs w:val="21"/>
        </w:rPr>
        <w:t>项目名称</w:t>
      </w:r>
      <w:r>
        <w:rPr>
          <w:rFonts w:hint="eastAsia"/>
          <w:szCs w:val="21"/>
          <w:u w:val="single"/>
        </w:rPr>
        <w:t xml:space="preserve">：       </w:t>
      </w:r>
      <w:r>
        <w:rPr>
          <w:rFonts w:hint="eastAsia"/>
          <w:szCs w:val="21"/>
        </w:rPr>
        <w:t xml:space="preserve">      项目编号</w:t>
      </w:r>
      <w:r>
        <w:rPr>
          <w:rFonts w:hint="eastAsia"/>
          <w:szCs w:val="21"/>
          <w:u w:val="single"/>
        </w:rPr>
        <w:t xml:space="preserve">：       </w:t>
      </w:r>
      <w:r>
        <w:rPr>
          <w:rFonts w:hint="eastAsia"/>
          <w:szCs w:val="21"/>
        </w:rPr>
        <w:t xml:space="preserve"> </w:t>
      </w:r>
    </w:p>
    <w:tbl>
      <w:tblPr>
        <w:tblStyle w:val="22"/>
        <w:tblpPr w:leftFromText="180" w:rightFromText="180" w:vertAnchor="text" w:horzAnchor="page" w:tblpX="1523" w:tblpY="408"/>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055"/>
        <w:gridCol w:w="3140"/>
        <w:gridCol w:w="1639"/>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序号</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内容</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招标文件要求</w:t>
            </w:r>
          </w:p>
        </w:tc>
        <w:tc>
          <w:tcPr>
            <w:tcW w:w="883"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是否响应</w:t>
            </w: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履约保证金</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2</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售后服务保障要求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3</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服务时间及地点</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4</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付款方式</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5</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备品备件及耗材等要求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6</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质量管理、企业信用要求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7</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能力或业绩要求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8</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科技水平</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9</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技术培训</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10</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实验室配备</w:t>
            </w: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11</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w:t>
            </w: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bl>
    <w:p>
      <w:pPr>
        <w:spacing w:line="340" w:lineRule="exact"/>
        <w:ind w:firstLine="420" w:firstLineChars="200"/>
        <w:rPr>
          <w:rFonts w:ascii="宋体" w:hAnsi="宋体" w:cs="宋体"/>
          <w:szCs w:val="21"/>
        </w:rPr>
      </w:pPr>
    </w:p>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line="500" w:lineRule="exact"/>
        <w:jc w:val="left"/>
        <w:rPr>
          <w:b/>
          <w:szCs w:val="21"/>
        </w:rPr>
      </w:pPr>
    </w:p>
    <w:p>
      <w:pPr>
        <w:pStyle w:val="3"/>
        <w:rPr>
          <w:szCs w:val="21"/>
        </w:rPr>
      </w:pPr>
    </w:p>
    <w:p>
      <w:pPr>
        <w:rPr>
          <w:b/>
          <w:szCs w:val="21"/>
        </w:rPr>
      </w:pPr>
    </w:p>
    <w:p>
      <w:pPr>
        <w:pStyle w:val="3"/>
        <w:rPr>
          <w:szCs w:val="21"/>
        </w:rPr>
      </w:pPr>
    </w:p>
    <w:p>
      <w:pPr>
        <w:rPr>
          <w:b/>
          <w:szCs w:val="21"/>
        </w:rPr>
      </w:pPr>
    </w:p>
    <w:p>
      <w:pPr>
        <w:snapToGrid w:val="0"/>
        <w:spacing w:before="50" w:after="50" w:line="500" w:lineRule="exact"/>
        <w:jc w:val="left"/>
        <w:rPr>
          <w:b/>
          <w:szCs w:val="21"/>
        </w:rPr>
      </w:pPr>
    </w:p>
    <w:p>
      <w:pPr>
        <w:snapToGrid w:val="0"/>
        <w:spacing w:before="50" w:after="50" w:line="500" w:lineRule="exact"/>
        <w:jc w:val="left"/>
        <w:rPr>
          <w:b/>
          <w:szCs w:val="21"/>
        </w:rPr>
      </w:pPr>
      <w:r>
        <w:rPr>
          <w:rFonts w:hint="eastAsia"/>
          <w:b/>
          <w:szCs w:val="21"/>
        </w:rPr>
        <w:t>附件1-12：</w:t>
      </w:r>
    </w:p>
    <w:p>
      <w:pPr>
        <w:pStyle w:val="3"/>
      </w:pPr>
      <w:r>
        <w:rPr>
          <w:rFonts w:hint="eastAsia" w:ascii="宋体" w:hAnsi="宋体" w:cs="宋体"/>
          <w:kern w:val="1"/>
          <w:szCs w:val="21"/>
        </w:rPr>
        <w:t>投标方认为需要的其他文件资料</w:t>
      </w:r>
    </w:p>
    <w:p>
      <w:pPr>
        <w:snapToGrid w:val="0"/>
        <w:spacing w:before="50" w:afterLines="50"/>
        <w:jc w:val="right"/>
        <w:rPr>
          <w:rFonts w:ascii="宋体" w:hAnsi="宋体"/>
          <w:szCs w:val="21"/>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snapToGrid w:val="0"/>
        <w:spacing w:beforeLines="50" w:after="50"/>
        <w:rPr>
          <w:rFonts w:ascii="宋体" w:hAnsi="宋体"/>
          <w:b/>
          <w:sz w:val="32"/>
          <w:szCs w:val="32"/>
        </w:rPr>
      </w:pPr>
      <w:r>
        <w:rPr>
          <w:rFonts w:hint="eastAsia" w:ascii="宋体" w:hAnsi="宋体"/>
          <w:b/>
          <w:sz w:val="28"/>
          <w:szCs w:val="28"/>
        </w:rPr>
        <w:t>附件2：</w:t>
      </w:r>
      <w:r>
        <w:rPr>
          <w:rFonts w:ascii="宋体" w:hAnsi="宋体"/>
          <w:b/>
          <w:sz w:val="32"/>
          <w:szCs w:val="32"/>
        </w:rPr>
        <w:t xml:space="preserve">                                  </w:t>
      </w:r>
    </w:p>
    <w:p>
      <w:pPr>
        <w:snapToGrid w:val="0"/>
        <w:spacing w:beforeLines="50" w:after="50"/>
        <w:jc w:val="right"/>
        <w:rPr>
          <w:rFonts w:ascii="宋体" w:hAnsi="宋体"/>
          <w:b/>
          <w:sz w:val="32"/>
          <w:szCs w:val="32"/>
        </w:rPr>
      </w:pPr>
      <w:r>
        <w:rPr>
          <w:rFonts w:ascii="宋体" w:hAnsi="宋体"/>
          <w:b/>
          <w:sz w:val="32"/>
          <w:szCs w:val="32"/>
        </w:rPr>
        <w:t xml:space="preserve"> </w:t>
      </w:r>
      <w:r>
        <w:rPr>
          <w:rFonts w:hint="eastAsia" w:ascii="宋体" w:hAnsi="宋体"/>
          <w:b/>
          <w:sz w:val="32"/>
          <w:szCs w:val="32"/>
        </w:rPr>
        <w:t>正本或副本</w:t>
      </w:r>
    </w:p>
    <w:p>
      <w:pPr>
        <w:ind w:right="-110"/>
        <w:jc w:val="center"/>
        <w:rPr>
          <w:rFonts w:ascii="宋体" w:hAnsi="宋体"/>
          <w:sz w:val="32"/>
          <w:szCs w:val="32"/>
        </w:rPr>
      </w:pPr>
    </w:p>
    <w:p>
      <w:pPr>
        <w:ind w:right="-110"/>
        <w:jc w:val="center"/>
        <w:rPr>
          <w:rFonts w:ascii="宋体" w:hAnsi="宋体"/>
          <w:sz w:val="32"/>
          <w:szCs w:val="32"/>
        </w:rPr>
      </w:pPr>
      <w:r>
        <w:rPr>
          <w:rFonts w:hint="eastAsia" w:ascii="宋体" w:hAnsi="宋体"/>
          <w:sz w:val="32"/>
          <w:szCs w:val="32"/>
        </w:rPr>
        <w:t>***项目名称</w:t>
      </w:r>
    </w:p>
    <w:p>
      <w:pPr>
        <w:spacing w:beforeLines="100"/>
        <w:ind w:right="-108"/>
        <w:jc w:val="center"/>
        <w:rPr>
          <w:rFonts w:ascii="宋体" w:hAnsi="宋体"/>
          <w:sz w:val="28"/>
          <w:szCs w:val="28"/>
        </w:rPr>
      </w:pPr>
      <w:r>
        <w:rPr>
          <w:rFonts w:hint="eastAsia" w:ascii="宋体" w:hAnsi="宋体"/>
          <w:sz w:val="28"/>
          <w:szCs w:val="28"/>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技</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术</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文</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件</w:t>
      </w: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110"/>
        <w:rPr>
          <w:rFonts w:ascii="宋体" w:hAnsi="宋体"/>
          <w:szCs w:val="21"/>
        </w:rPr>
      </w:pPr>
      <w:r>
        <w:rPr>
          <w:rFonts w:hint="eastAsia" w:ascii="宋体" w:hAnsi="宋体"/>
          <w:szCs w:val="21"/>
        </w:rPr>
        <w:t>单位全称（公章）：</w:t>
      </w:r>
    </w:p>
    <w:p>
      <w:pPr>
        <w:ind w:right="-110"/>
        <w:rPr>
          <w:rFonts w:ascii="宋体" w:hAnsi="宋体"/>
          <w:szCs w:val="21"/>
        </w:rPr>
      </w:pPr>
      <w:r>
        <w:rPr>
          <w:rFonts w:hint="eastAsia" w:ascii="宋体" w:hAnsi="宋体"/>
          <w:szCs w:val="21"/>
        </w:rPr>
        <w:t>地    址：</w:t>
      </w:r>
    </w:p>
    <w:p>
      <w:pPr>
        <w:ind w:right="-110"/>
        <w:rPr>
          <w:rFonts w:ascii="宋体" w:hAnsi="宋体"/>
          <w:szCs w:val="21"/>
        </w:rPr>
      </w:pPr>
      <w:r>
        <w:rPr>
          <w:rFonts w:hint="eastAsia" w:ascii="宋体" w:hAnsi="宋体"/>
          <w:szCs w:val="21"/>
        </w:rPr>
        <w:t>时    间：</w:t>
      </w:r>
    </w:p>
    <w:p>
      <w:pPr>
        <w:snapToGrid w:val="0"/>
        <w:spacing w:before="50" w:after="50"/>
        <w:rPr>
          <w:rFonts w:ascii="宋体" w:hAnsi="宋体"/>
          <w:sz w:val="30"/>
          <w:szCs w:val="30"/>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pacing w:line="400" w:lineRule="exact"/>
        <w:ind w:firstLine="422" w:firstLineChars="200"/>
        <w:rPr>
          <w:rFonts w:ascii="宋体" w:hAnsi="宋体"/>
          <w:b/>
          <w:szCs w:val="21"/>
        </w:rPr>
      </w:pPr>
      <w:r>
        <w:rPr>
          <w:rFonts w:hint="eastAsia" w:ascii="宋体" w:hAnsi="宋体"/>
          <w:b/>
          <w:szCs w:val="21"/>
        </w:rPr>
        <w:t>2.技术文件目录（仅供参考）：</w:t>
      </w:r>
    </w:p>
    <w:p>
      <w:pPr>
        <w:spacing w:line="400" w:lineRule="exact"/>
        <w:ind w:firstLine="420" w:firstLineChars="200"/>
        <w:rPr>
          <w:rFonts w:ascii="宋体" w:hAnsi="宋体" w:cs="宋体"/>
          <w:kern w:val="1"/>
          <w:szCs w:val="21"/>
        </w:rPr>
      </w:pPr>
      <w:r>
        <w:rPr>
          <w:rFonts w:hint="eastAsia" w:ascii="宋体" w:hAnsi="宋体" w:cs="宋体"/>
          <w:kern w:val="1"/>
          <w:szCs w:val="21"/>
        </w:rPr>
        <w:t>（1）本项目总体理解及现状问题分析；</w:t>
      </w:r>
    </w:p>
    <w:p>
      <w:pPr>
        <w:spacing w:line="400" w:lineRule="exact"/>
        <w:ind w:firstLine="420" w:firstLineChars="200"/>
        <w:rPr>
          <w:rFonts w:ascii="宋体" w:hAnsi="宋体" w:cs="宋体"/>
          <w:kern w:val="1"/>
          <w:szCs w:val="21"/>
        </w:rPr>
      </w:pPr>
      <w:r>
        <w:rPr>
          <w:rFonts w:hint="eastAsia" w:ascii="宋体" w:hAnsi="宋体" w:cs="宋体"/>
          <w:kern w:val="1"/>
          <w:szCs w:val="21"/>
        </w:rPr>
        <w:t>（2）本项目整体运维方案及应急管理预案；</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（3）投标人拥有主要装备和检测设施的情况及现状（若有）；</w:t>
      </w:r>
    </w:p>
    <w:p>
      <w:pPr>
        <w:spacing w:line="400" w:lineRule="exact"/>
        <w:ind w:firstLine="420" w:firstLineChars="200"/>
        <w:rPr>
          <w:rFonts w:ascii="宋体" w:hAnsi="宋体" w:cs="宋体"/>
          <w:kern w:val="1"/>
          <w:szCs w:val="21"/>
        </w:rPr>
      </w:pPr>
      <w:r>
        <w:rPr>
          <w:rFonts w:hint="eastAsia" w:ascii="宋体" w:hAnsi="宋体" w:cs="宋体"/>
          <w:kern w:val="1"/>
          <w:szCs w:val="21"/>
        </w:rPr>
        <w:t>（4）投标人投入本项目的人力资源情况；</w:t>
      </w:r>
    </w:p>
    <w:p>
      <w:pPr>
        <w:spacing w:line="400" w:lineRule="exact"/>
        <w:ind w:firstLine="420" w:firstLineChars="200"/>
        <w:rPr>
          <w:rFonts w:ascii="宋体" w:hAnsi="宋体" w:cs="宋体"/>
          <w:kern w:val="1"/>
          <w:szCs w:val="21"/>
        </w:rPr>
      </w:pPr>
      <w:r>
        <w:rPr>
          <w:rFonts w:hint="eastAsia" w:ascii="宋体" w:hAnsi="宋体" w:cs="宋体"/>
          <w:kern w:val="1"/>
          <w:szCs w:val="21"/>
        </w:rPr>
        <w:t>（5）设备配置清单(格式见附件)；（均不含报价）</w:t>
      </w:r>
    </w:p>
    <w:p>
      <w:pPr>
        <w:spacing w:line="400" w:lineRule="exact"/>
        <w:ind w:firstLine="420" w:firstLineChars="200"/>
        <w:rPr>
          <w:rFonts w:ascii="宋体" w:hAnsi="宋体" w:cs="宋体"/>
          <w:kern w:val="1"/>
          <w:szCs w:val="21"/>
        </w:rPr>
      </w:pPr>
      <w:r>
        <w:rPr>
          <w:rFonts w:hint="eastAsia" w:ascii="宋体" w:hAnsi="宋体" w:cs="宋体"/>
          <w:kern w:val="1"/>
          <w:szCs w:val="21"/>
        </w:rPr>
        <w:t>（7）技术响应表(格式见附件)；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（8）投标人保障本项目正常运行的相关措施及方案；</w:t>
      </w:r>
    </w:p>
    <w:p>
      <w:pPr>
        <w:spacing w:line="400" w:lineRule="exact"/>
        <w:ind w:firstLine="420" w:firstLineChars="200"/>
        <w:rPr>
          <w:rFonts w:ascii="宋体" w:hAnsi="宋体" w:cs="宋体"/>
          <w:kern w:val="1"/>
          <w:szCs w:val="21"/>
        </w:rPr>
      </w:pPr>
      <w:r>
        <w:rPr>
          <w:rFonts w:hint="eastAsia" w:ascii="宋体" w:hAnsi="宋体" w:cs="宋体"/>
          <w:kern w:val="1"/>
          <w:szCs w:val="21"/>
        </w:rPr>
        <w:t>（9）投标人对本项目设备运维过程中维修方案（若有）；</w:t>
      </w:r>
    </w:p>
    <w:p>
      <w:pPr>
        <w:spacing w:line="400" w:lineRule="exact"/>
        <w:ind w:firstLine="420" w:firstLineChars="200"/>
        <w:rPr>
          <w:rFonts w:ascii="宋体" w:hAnsi="宋体" w:cs="宋体"/>
          <w:kern w:val="1"/>
          <w:szCs w:val="21"/>
        </w:rPr>
      </w:pPr>
      <w:r>
        <w:rPr>
          <w:rFonts w:hint="eastAsia" w:ascii="宋体" w:hAnsi="宋体" w:cs="宋体"/>
          <w:kern w:val="1"/>
          <w:szCs w:val="21"/>
        </w:rPr>
        <w:t>（10）投标人需要说明的其他文件和说明（格式略）；</w:t>
      </w: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pStyle w:val="11"/>
        <w:snapToGrid w:val="0"/>
        <w:spacing w:beforeLines="0" w:after="120" w:line="240" w:lineRule="auto"/>
        <w:rPr>
          <w:rFonts w:hAnsi="宋体"/>
          <w:sz w:val="30"/>
          <w:szCs w:val="30"/>
        </w:rPr>
      </w:pPr>
    </w:p>
    <w:p>
      <w:pPr>
        <w:snapToGrid w:val="0"/>
        <w:jc w:val="left"/>
        <w:rPr>
          <w:rFonts w:ascii="宋体" w:hAnsi="宋体"/>
          <w:b/>
          <w:sz w:val="28"/>
          <w:szCs w:val="28"/>
        </w:rPr>
      </w:pPr>
    </w:p>
    <w:p>
      <w:pPr>
        <w:snapToGrid w:val="0"/>
        <w:jc w:val="left"/>
        <w:rPr>
          <w:rFonts w:ascii="宋体" w:hAnsi="宋体"/>
          <w:b/>
          <w:sz w:val="28"/>
          <w:szCs w:val="28"/>
        </w:rPr>
      </w:pPr>
    </w:p>
    <w:p>
      <w:pPr>
        <w:snapToGrid w:val="0"/>
        <w:jc w:val="left"/>
        <w:rPr>
          <w:rFonts w:ascii="宋体" w:hAnsi="宋体"/>
          <w:b/>
          <w:sz w:val="28"/>
          <w:szCs w:val="28"/>
        </w:rPr>
      </w:pPr>
    </w:p>
    <w:p>
      <w:pPr>
        <w:snapToGrid w:val="0"/>
        <w:jc w:val="left"/>
        <w:rPr>
          <w:rFonts w:ascii="宋体" w:hAnsi="宋体"/>
          <w:b/>
          <w:sz w:val="28"/>
          <w:szCs w:val="28"/>
        </w:rPr>
      </w:pPr>
    </w:p>
    <w:p>
      <w:pPr>
        <w:pStyle w:val="9"/>
        <w:ind w:firstLine="281"/>
        <w:rPr>
          <w:rFonts w:ascii="宋体" w:hAnsi="宋体"/>
          <w:b/>
          <w:sz w:val="28"/>
          <w:szCs w:val="28"/>
        </w:rPr>
      </w:pPr>
    </w:p>
    <w:p>
      <w:pPr>
        <w:snapToGrid w:val="0"/>
        <w:jc w:val="left"/>
        <w:rPr>
          <w:rFonts w:ascii="宋体" w:hAnsi="宋体"/>
          <w:b/>
          <w:sz w:val="28"/>
          <w:szCs w:val="28"/>
        </w:rPr>
      </w:pPr>
      <w:r>
        <w:rPr>
          <w:rFonts w:hint="eastAsia" w:ascii="宋体" w:hAnsi="宋体"/>
          <w:b/>
          <w:sz w:val="28"/>
          <w:szCs w:val="28"/>
        </w:rPr>
        <w:t>附件2-1：</w:t>
      </w:r>
    </w:p>
    <w:p>
      <w:pPr>
        <w:snapToGrid w:val="0"/>
        <w:jc w:val="center"/>
        <w:rPr>
          <w:rFonts w:ascii="宋体" w:hAnsi="宋体"/>
          <w:b/>
          <w:sz w:val="32"/>
          <w:szCs w:val="32"/>
        </w:rPr>
      </w:pPr>
      <w:r>
        <w:rPr>
          <w:rFonts w:hint="eastAsia" w:ascii="宋体" w:hAnsi="宋体"/>
          <w:b/>
          <w:sz w:val="32"/>
          <w:szCs w:val="32"/>
        </w:rPr>
        <w:t>运维工器具配置清单</w:t>
      </w:r>
    </w:p>
    <w:p>
      <w:pPr>
        <w:snapToGrid w:val="0"/>
        <w:jc w:val="left"/>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标项：</w:t>
      </w:r>
      <w:r>
        <w:rPr>
          <w:rFonts w:hint="eastAsia" w:ascii="宋体" w:hAnsi="宋体"/>
          <w:szCs w:val="21"/>
          <w:u w:val="single"/>
        </w:rPr>
        <w:t xml:space="preserve">                             </w:t>
      </w:r>
    </w:p>
    <w:tbl>
      <w:tblPr>
        <w:tblStyle w:val="2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314"/>
        <w:gridCol w:w="759"/>
        <w:gridCol w:w="1162"/>
        <w:gridCol w:w="1162"/>
        <w:gridCol w:w="1286"/>
        <w:gridCol w:w="1576"/>
        <w:gridCol w:w="13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设备或材料名称</w:t>
            </w:r>
          </w:p>
        </w:tc>
        <w:tc>
          <w:tcPr>
            <w:tcW w:w="409"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626"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产地</w:t>
            </w:r>
          </w:p>
        </w:tc>
        <w:tc>
          <w:tcPr>
            <w:tcW w:w="626"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w:t>
            </w:r>
          </w:p>
        </w:tc>
        <w:tc>
          <w:tcPr>
            <w:tcW w:w="693"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单位及数量</w:t>
            </w:r>
          </w:p>
        </w:tc>
        <w:tc>
          <w:tcPr>
            <w:tcW w:w="849"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性能及指标</w:t>
            </w:r>
          </w:p>
        </w:tc>
        <w:tc>
          <w:tcPr>
            <w:tcW w:w="704"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CCTV管道检测仪</w:t>
            </w: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管道内窥镜</w:t>
            </w: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移动水质检测设备（至少具备检测化学需氧量、总磷、氨氮三项能力）</w:t>
            </w: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毒气检测仪</w:t>
            </w: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r>
              <w:rPr>
                <w:rFonts w:hint="eastAsia" w:ascii="宋体" w:hAnsi="宋体" w:cs="宋体"/>
                <w:bCs/>
                <w:szCs w:val="21"/>
              </w:rPr>
              <w:t>移动供电设备</w:t>
            </w: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8"/>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cs="宋体"/>
                <w:bCs/>
                <w:szCs w:val="21"/>
              </w:rPr>
              <w:t>承诺以上工具在合同签订后3天内数量配备到位</w:t>
            </w:r>
          </w:p>
        </w:tc>
      </w:tr>
    </w:tbl>
    <w:p>
      <w:pPr>
        <w:snapToGrid w:val="0"/>
        <w:jc w:val="left"/>
        <w:rPr>
          <w:rFonts w:ascii="宋体" w:hAnsi="宋体"/>
          <w:b/>
          <w:szCs w:val="21"/>
        </w:rPr>
      </w:pPr>
    </w:p>
    <w:p>
      <w:pPr>
        <w:snapToGrid w:val="0"/>
        <w:jc w:val="left"/>
        <w:rPr>
          <w:rFonts w:ascii="宋体" w:hAnsi="宋体"/>
          <w:szCs w:val="21"/>
        </w:rPr>
      </w:pPr>
    </w:p>
    <w:p>
      <w:pPr>
        <w:snapToGrid w:val="0"/>
        <w:jc w:val="left"/>
        <w:rPr>
          <w:rFonts w:ascii="宋体" w:hAnsi="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napToGrid w:val="0"/>
        <w:jc w:val="left"/>
        <w:rPr>
          <w:rFonts w:ascii="宋体" w:hAnsi="宋体"/>
          <w:szCs w:val="21"/>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Lines="50"/>
        <w:rPr>
          <w:rFonts w:ascii="宋体" w:hAnsi="宋体"/>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pStyle w:val="2"/>
        <w:spacing w:before="120"/>
        <w:rPr>
          <w:rFonts w:ascii="宋体" w:hAnsi="宋体"/>
          <w:spacing w:val="20"/>
          <w:sz w:val="28"/>
          <w:szCs w:val="28"/>
        </w:rPr>
      </w:pPr>
    </w:p>
    <w:p>
      <w:pPr>
        <w:snapToGrid w:val="0"/>
        <w:spacing w:before="50" w:after="50"/>
        <w:rPr>
          <w:rFonts w:ascii="宋体" w:hAnsi="宋体"/>
          <w:b/>
          <w:sz w:val="28"/>
          <w:szCs w:val="28"/>
        </w:rPr>
      </w:pPr>
      <w:r>
        <w:rPr>
          <w:rFonts w:hint="eastAsia" w:ascii="宋体" w:hAnsi="宋体"/>
          <w:b/>
          <w:sz w:val="28"/>
          <w:szCs w:val="28"/>
        </w:rPr>
        <w:t>附件2-2：</w:t>
      </w:r>
    </w:p>
    <w:p>
      <w:pPr>
        <w:snapToGrid w:val="0"/>
        <w:spacing w:before="50" w:afterLines="50"/>
        <w:jc w:val="center"/>
        <w:rPr>
          <w:rFonts w:ascii="宋体" w:hAnsi="宋体"/>
          <w:b/>
          <w:sz w:val="30"/>
          <w:szCs w:val="30"/>
        </w:rPr>
      </w:pPr>
      <w:r>
        <w:rPr>
          <w:rFonts w:hint="eastAsia" w:ascii="宋体" w:hAnsi="宋体"/>
          <w:b/>
          <w:sz w:val="30"/>
          <w:szCs w:val="30"/>
        </w:rPr>
        <w:t>技 术 响 应 表</w:t>
      </w:r>
    </w:p>
    <w:p>
      <w:pPr>
        <w:snapToGrid w:val="0"/>
        <w:spacing w:before="50" w:afterLines="50"/>
        <w:jc w:val="center"/>
        <w:rPr>
          <w:rFonts w:ascii="宋体" w:hAnsi="宋体"/>
          <w:szCs w:val="21"/>
        </w:rPr>
      </w:pPr>
    </w:p>
    <w:p>
      <w:pPr>
        <w:pStyle w:val="5"/>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 xml:space="preserve"> 标项： </w:t>
      </w:r>
      <w:r>
        <w:rPr>
          <w:rFonts w:hint="eastAsia" w:ascii="宋体" w:hAnsi="宋体" w:eastAsia="宋体" w:cs="Times New Roman"/>
          <w:sz w:val="21"/>
          <w:szCs w:val="21"/>
          <w:u w:val="single"/>
        </w:rPr>
        <w:t xml:space="preserve">                          </w:t>
      </w:r>
    </w:p>
    <w:tbl>
      <w:tblPr>
        <w:tblStyle w:val="22"/>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2975"/>
        <w:gridCol w:w="3378"/>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7"/>
              <w:spacing w:after="0" w:line="300" w:lineRule="exact"/>
              <w:jc w:val="center"/>
              <w:rPr>
                <w:rFonts w:ascii="宋体" w:hAnsi="宋体"/>
                <w:sz w:val="21"/>
                <w:szCs w:val="21"/>
              </w:rPr>
            </w:pPr>
            <w:r>
              <w:rPr>
                <w:rFonts w:hint="eastAsia" w:ascii="宋体" w:hAnsi="宋体"/>
                <w:sz w:val="21"/>
                <w:szCs w:val="21"/>
              </w:rPr>
              <w:t>序号</w:t>
            </w:r>
          </w:p>
        </w:tc>
        <w:tc>
          <w:tcPr>
            <w:tcW w:w="1603" w:type="pct"/>
            <w:tcBorders>
              <w:top w:val="single" w:color="auto" w:sz="4" w:space="0"/>
              <w:left w:val="single" w:color="auto" w:sz="4" w:space="0"/>
              <w:bottom w:val="single" w:color="auto" w:sz="4" w:space="0"/>
              <w:right w:val="single" w:color="auto" w:sz="4" w:space="0"/>
            </w:tcBorders>
            <w:vAlign w:val="center"/>
          </w:tcPr>
          <w:p>
            <w:pPr>
              <w:pStyle w:val="7"/>
              <w:spacing w:after="0" w:line="300" w:lineRule="exact"/>
              <w:jc w:val="center"/>
              <w:rPr>
                <w:rFonts w:ascii="宋体" w:hAnsi="宋体"/>
                <w:sz w:val="21"/>
                <w:szCs w:val="21"/>
              </w:rPr>
            </w:pPr>
            <w:r>
              <w:rPr>
                <w:rFonts w:hint="eastAsia" w:ascii="宋体" w:hAnsi="宋体"/>
                <w:sz w:val="21"/>
                <w:szCs w:val="21"/>
              </w:rPr>
              <w:t>招标文件要求</w:t>
            </w:r>
          </w:p>
        </w:tc>
        <w:tc>
          <w:tcPr>
            <w:tcW w:w="1820" w:type="pct"/>
            <w:tcBorders>
              <w:top w:val="single" w:color="auto" w:sz="4" w:space="0"/>
              <w:left w:val="single" w:color="auto" w:sz="4" w:space="0"/>
              <w:bottom w:val="single" w:color="auto" w:sz="4" w:space="0"/>
              <w:right w:val="single" w:color="auto" w:sz="4" w:space="0"/>
            </w:tcBorders>
            <w:vAlign w:val="center"/>
          </w:tcPr>
          <w:p>
            <w:pPr>
              <w:pStyle w:val="7"/>
              <w:spacing w:after="0" w:line="300" w:lineRule="exact"/>
              <w:jc w:val="center"/>
              <w:rPr>
                <w:rFonts w:ascii="宋体" w:hAnsi="宋体"/>
                <w:sz w:val="21"/>
                <w:szCs w:val="21"/>
              </w:rPr>
            </w:pPr>
            <w:r>
              <w:rPr>
                <w:rFonts w:hint="eastAsia" w:ascii="宋体" w:hAnsi="宋体"/>
                <w:sz w:val="21"/>
                <w:szCs w:val="21"/>
              </w:rPr>
              <w:t>投标文件响应</w:t>
            </w:r>
          </w:p>
        </w:tc>
        <w:tc>
          <w:tcPr>
            <w:tcW w:w="1129" w:type="pct"/>
            <w:tcBorders>
              <w:top w:val="single" w:color="auto" w:sz="4" w:space="0"/>
              <w:left w:val="single" w:color="auto" w:sz="4" w:space="0"/>
              <w:bottom w:val="single" w:color="auto" w:sz="4" w:space="0"/>
              <w:right w:val="single" w:color="auto" w:sz="4" w:space="0"/>
            </w:tcBorders>
            <w:vAlign w:val="center"/>
          </w:tcPr>
          <w:p>
            <w:pPr>
              <w:pStyle w:val="7"/>
              <w:spacing w:after="0" w:line="300" w:lineRule="exact"/>
              <w:jc w:val="center"/>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r>
              <w:rPr>
                <w:rFonts w:hint="eastAsia" w:hAnsi="宋体"/>
                <w:sz w:val="21"/>
                <w:szCs w:val="21"/>
              </w:rPr>
              <w:t>......</w:t>
            </w:r>
          </w:p>
        </w:tc>
        <w:tc>
          <w:tcPr>
            <w:tcW w:w="1820"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1"/>
              <w:snapToGrid w:val="0"/>
              <w:spacing w:beforeLines="0" w:afterLines="0" w:line="300" w:lineRule="exact"/>
              <w:outlineLvl w:val="0"/>
              <w:rPr>
                <w:rFonts w:hAnsi="宋体"/>
                <w:sz w:val="21"/>
                <w:szCs w:val="21"/>
              </w:rPr>
            </w:pPr>
          </w:p>
        </w:tc>
      </w:tr>
    </w:tbl>
    <w:p>
      <w:pPr>
        <w:pStyle w:val="7"/>
        <w:ind w:firstLine="205" w:firstLineChars="98"/>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w:t>
      </w:r>
    </w:p>
    <w:p>
      <w:pPr>
        <w:snapToGrid w:val="0"/>
        <w:spacing w:before="50" w:after="50"/>
        <w:rPr>
          <w:rFonts w:ascii="宋体" w:hAnsi="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宋体" w:hAnsi="宋体"/>
          <w:szCs w:val="21"/>
        </w:rPr>
      </w:pPr>
      <w:r>
        <w:rPr>
          <w:rFonts w:hint="eastAsia" w:ascii="宋体" w:hAnsi="宋体" w:cs="宋体"/>
          <w:szCs w:val="21"/>
        </w:rPr>
        <w:t>日期：    年   月   日</w:t>
      </w:r>
      <w:r>
        <w:rPr>
          <w:rFonts w:hint="eastAsia" w:ascii="微软雅黑" w:hAnsi="微软雅黑" w:eastAsia="微软雅黑"/>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 xml:space="preserve"> </w:t>
      </w: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pStyle w:val="2"/>
        <w:spacing w:before="120"/>
        <w:rPr>
          <w:rFonts w:ascii="宋体" w:hAnsi="宋体"/>
          <w:szCs w:val="21"/>
        </w:rPr>
      </w:pPr>
    </w:p>
    <w:p>
      <w:pPr>
        <w:spacing w:line="400" w:lineRule="exact"/>
        <w:rPr>
          <w:rFonts w:ascii="宋体" w:hAnsi="宋体"/>
          <w:b/>
          <w:sz w:val="28"/>
          <w:szCs w:val="28"/>
        </w:rPr>
      </w:pPr>
      <w:r>
        <w:rPr>
          <w:rFonts w:hint="eastAsia" w:ascii="宋体" w:hAnsi="宋体"/>
          <w:szCs w:val="21"/>
        </w:rPr>
        <w:t xml:space="preserve"> </w:t>
      </w:r>
      <w:r>
        <w:rPr>
          <w:rFonts w:hint="eastAsia" w:ascii="宋体" w:hAnsi="宋体"/>
          <w:b/>
          <w:sz w:val="28"/>
          <w:szCs w:val="28"/>
        </w:rPr>
        <w:t>附件2-3：</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实质性技术响应表</w:t>
      </w:r>
    </w:p>
    <w:p>
      <w:pPr>
        <w:pStyle w:val="2"/>
        <w:spacing w:before="120"/>
        <w:rPr>
          <w:rFonts w:ascii="Times New Roman" w:hAnsi="Times New Roman"/>
          <w:szCs w:val="21"/>
        </w:rPr>
      </w:pPr>
    </w:p>
    <w:p>
      <w:pPr>
        <w:pStyle w:val="2"/>
        <w:spacing w:before="120"/>
        <w:rPr>
          <w:spacing w:val="20"/>
          <w:szCs w:val="21"/>
          <w:u w:val="single"/>
        </w:rPr>
      </w:pPr>
      <w:r>
        <w:rPr>
          <w:rFonts w:hint="eastAsia" w:ascii="Times New Roman" w:hAnsi="Times New Roman"/>
          <w:szCs w:val="21"/>
        </w:rPr>
        <w:t>项目名称：</w:t>
      </w:r>
      <w:r>
        <w:rPr>
          <w:rFonts w:hint="eastAsia" w:ascii="Times New Roman" w:hAnsi="Times New Roman"/>
          <w:szCs w:val="21"/>
          <w:u w:val="single"/>
        </w:rPr>
        <w:t xml:space="preserve">            </w:t>
      </w:r>
      <w:r>
        <w:rPr>
          <w:rFonts w:hint="eastAsia" w:ascii="Times New Roman" w:hAnsi="Times New Roman"/>
          <w:szCs w:val="21"/>
        </w:rPr>
        <w:t xml:space="preserve">  项目编号：</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199"/>
        <w:gridCol w:w="3650"/>
        <w:gridCol w:w="1825"/>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vAlign w:val="center"/>
          </w:tcPr>
          <w:p>
            <w:pPr>
              <w:spacing w:line="300" w:lineRule="exact"/>
              <w:jc w:val="center"/>
              <w:rPr>
                <w:rFonts w:ascii="宋体" w:hAnsi="宋体" w:cs="宋体"/>
                <w:szCs w:val="21"/>
              </w:rPr>
            </w:pPr>
            <w:r>
              <w:rPr>
                <w:rFonts w:hint="eastAsia" w:ascii="宋体" w:hAnsi="宋体" w:cs="宋体"/>
                <w:szCs w:val="21"/>
              </w:rPr>
              <w:t>序号</w:t>
            </w:r>
          </w:p>
        </w:tc>
        <w:tc>
          <w:tcPr>
            <w:tcW w:w="646" w:type="pct"/>
            <w:vAlign w:val="center"/>
          </w:tcPr>
          <w:p>
            <w:pPr>
              <w:spacing w:line="300" w:lineRule="exact"/>
              <w:jc w:val="center"/>
              <w:rPr>
                <w:rFonts w:ascii="宋体" w:hAnsi="宋体" w:cs="宋体"/>
                <w:szCs w:val="21"/>
              </w:rPr>
            </w:pPr>
            <w:r>
              <w:rPr>
                <w:rFonts w:hint="eastAsia" w:ascii="宋体" w:hAnsi="宋体" w:cs="宋体"/>
                <w:szCs w:val="21"/>
              </w:rPr>
              <w:t>内容</w:t>
            </w:r>
          </w:p>
        </w:tc>
        <w:tc>
          <w:tcPr>
            <w:tcW w:w="1966" w:type="pct"/>
            <w:vAlign w:val="center"/>
          </w:tcPr>
          <w:p>
            <w:pPr>
              <w:spacing w:line="300" w:lineRule="exact"/>
              <w:jc w:val="center"/>
              <w:rPr>
                <w:rFonts w:ascii="宋体" w:hAnsi="宋体" w:cs="宋体"/>
                <w:szCs w:val="21"/>
              </w:rPr>
            </w:pPr>
            <w:r>
              <w:rPr>
                <w:rFonts w:hint="eastAsia" w:ascii="宋体" w:hAnsi="宋体" w:cs="宋体"/>
                <w:szCs w:val="21"/>
              </w:rPr>
              <w:t>实质性参数内容</w:t>
            </w:r>
          </w:p>
        </w:tc>
        <w:tc>
          <w:tcPr>
            <w:tcW w:w="983" w:type="pct"/>
            <w:vAlign w:val="center"/>
          </w:tcPr>
          <w:p>
            <w:pPr>
              <w:spacing w:line="300" w:lineRule="exact"/>
              <w:jc w:val="center"/>
              <w:rPr>
                <w:rFonts w:ascii="宋体" w:hAnsi="宋体" w:cs="宋体"/>
                <w:szCs w:val="21"/>
              </w:rPr>
            </w:pPr>
            <w:r>
              <w:rPr>
                <w:rFonts w:hint="eastAsia" w:ascii="宋体" w:hAnsi="宋体" w:cs="宋体"/>
                <w:szCs w:val="21"/>
              </w:rPr>
              <w:t>响应情况</w:t>
            </w:r>
          </w:p>
        </w:tc>
        <w:tc>
          <w:tcPr>
            <w:tcW w:w="924" w:type="pct"/>
            <w:vAlign w:val="center"/>
          </w:tcPr>
          <w:p>
            <w:pPr>
              <w:spacing w:line="300" w:lineRule="exact"/>
              <w:jc w:val="center"/>
              <w:rPr>
                <w:rFonts w:ascii="宋体" w:hAnsi="宋体" w:cs="宋体"/>
                <w:szCs w:val="21"/>
              </w:rPr>
            </w:pPr>
            <w:r>
              <w:rPr>
                <w:rFonts w:hint="eastAsia" w:ascii="宋体" w:hAnsi="宋体" w:cs="宋体"/>
                <w:szCs w:val="21"/>
              </w:rPr>
              <w:t>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vAlign w:val="center"/>
          </w:tcPr>
          <w:p>
            <w:pPr>
              <w:spacing w:line="300" w:lineRule="exact"/>
              <w:jc w:val="center"/>
              <w:rPr>
                <w:rFonts w:ascii="宋体" w:hAnsi="宋体" w:cs="宋体"/>
                <w:szCs w:val="21"/>
              </w:rPr>
            </w:pPr>
            <w:r>
              <w:rPr>
                <w:rFonts w:hint="eastAsia" w:ascii="宋体" w:hAnsi="宋体" w:cs="宋体"/>
                <w:szCs w:val="21"/>
              </w:rPr>
              <w:t>1</w:t>
            </w:r>
          </w:p>
        </w:tc>
        <w:tc>
          <w:tcPr>
            <w:tcW w:w="646" w:type="pc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 xml:space="preserve">技术人员 </w:t>
            </w:r>
          </w:p>
        </w:tc>
        <w:tc>
          <w:tcPr>
            <w:tcW w:w="1966" w:type="pct"/>
            <w:vAlign w:val="center"/>
          </w:tcPr>
          <w:p>
            <w:pPr>
              <w:widowControl/>
              <w:spacing w:line="300" w:lineRule="exact"/>
              <w:jc w:val="center"/>
              <w:textAlignment w:val="center"/>
              <w:rPr>
                <w:rFonts w:ascii="宋体" w:hAnsi="宋体" w:cs="宋体"/>
                <w:szCs w:val="21"/>
              </w:rPr>
            </w:pPr>
            <w:r>
              <w:rPr>
                <w:rFonts w:hint="eastAsia" w:ascii="宋体" w:hAnsi="宋体" w:cs="宋体"/>
                <w:szCs w:val="21"/>
              </w:rPr>
              <w:t>见相应条款</w:t>
            </w:r>
          </w:p>
        </w:tc>
        <w:tc>
          <w:tcPr>
            <w:tcW w:w="983" w:type="pct"/>
            <w:vAlign w:val="center"/>
          </w:tcPr>
          <w:p>
            <w:pPr>
              <w:spacing w:line="300" w:lineRule="exact"/>
              <w:jc w:val="center"/>
              <w:rPr>
                <w:rFonts w:ascii="宋体" w:hAnsi="宋体" w:cs="宋体"/>
                <w:szCs w:val="21"/>
              </w:rPr>
            </w:pPr>
            <w:r>
              <w:rPr>
                <w:rFonts w:hint="eastAsia" w:ascii="宋体" w:hAnsi="宋体" w:cs="宋体"/>
                <w:szCs w:val="21"/>
              </w:rPr>
              <w:t>以附件2-4为准</w:t>
            </w:r>
          </w:p>
        </w:tc>
        <w:tc>
          <w:tcPr>
            <w:tcW w:w="924"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9" w:type="pc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646" w:type="pc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服务能力</w:t>
            </w:r>
          </w:p>
        </w:tc>
        <w:tc>
          <w:tcPr>
            <w:tcW w:w="1966" w:type="pct"/>
            <w:vAlign w:val="center"/>
          </w:tcPr>
          <w:p>
            <w:pPr>
              <w:widowControl/>
              <w:spacing w:line="300" w:lineRule="exact"/>
              <w:jc w:val="center"/>
              <w:textAlignment w:val="center"/>
              <w:rPr>
                <w:rFonts w:ascii="宋体" w:hAnsi="宋体" w:cs="宋体"/>
                <w:b/>
                <w:bCs/>
                <w:color w:val="FF0000"/>
                <w:kern w:val="0"/>
                <w:szCs w:val="21"/>
              </w:rPr>
            </w:pPr>
            <w:r>
              <w:rPr>
                <w:rFonts w:hint="eastAsia" w:ascii="宋体" w:hAnsi="宋体" w:cs="宋体"/>
                <w:szCs w:val="21"/>
              </w:rPr>
              <w:t>供应商应中标后在安吉县区域范围内成立分公司，设立专门的办公场所。</w:t>
            </w:r>
          </w:p>
        </w:tc>
        <w:tc>
          <w:tcPr>
            <w:tcW w:w="983" w:type="pct"/>
            <w:vAlign w:val="center"/>
          </w:tcPr>
          <w:p>
            <w:pPr>
              <w:spacing w:line="300" w:lineRule="exact"/>
              <w:jc w:val="center"/>
              <w:rPr>
                <w:rFonts w:ascii="宋体" w:hAnsi="宋体" w:cs="宋体"/>
                <w:szCs w:val="21"/>
              </w:rPr>
            </w:pPr>
          </w:p>
        </w:tc>
        <w:tc>
          <w:tcPr>
            <w:tcW w:w="924"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9" w:type="pct"/>
            <w:vAlign w:val="center"/>
          </w:tcPr>
          <w:p>
            <w:pPr>
              <w:pStyle w:val="2"/>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3</w:t>
            </w:r>
          </w:p>
        </w:tc>
        <w:tc>
          <w:tcPr>
            <w:tcW w:w="646" w:type="pc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运维平台</w:t>
            </w:r>
          </w:p>
        </w:tc>
        <w:tc>
          <w:tcPr>
            <w:tcW w:w="1966" w:type="pct"/>
            <w:vAlign w:val="center"/>
          </w:tcPr>
          <w:p>
            <w:pPr>
              <w:pStyle w:val="2"/>
              <w:spacing w:before="120"/>
              <w:ind w:firstLine="0"/>
              <w:rPr>
                <w:rFonts w:ascii="宋体" w:hAnsi="宋体" w:cs="宋体"/>
                <w:b/>
                <w:bCs/>
                <w:color w:val="FF0000"/>
                <w:szCs w:val="21"/>
              </w:rPr>
            </w:pPr>
            <w:r>
              <w:rPr>
                <w:rFonts w:hint="eastAsia" w:ascii="宋体" w:hAnsi="宋体" w:cs="宋体"/>
                <w:kern w:val="2"/>
                <w:szCs w:val="21"/>
              </w:rPr>
              <w:t>运维平台（软件）应当包含但不仅限于基础信息库、人员管理、内部规范、权限管理、设施信息管理、运维工作管理、政策导则、信息报送、报表管理9大功能模块，同时具备下述功能，需确保企业运维平台与现有的终端、省市县各级监管平台数据传输，确保端口与省、市、县平台无缝对接。</w:t>
            </w:r>
          </w:p>
        </w:tc>
        <w:tc>
          <w:tcPr>
            <w:tcW w:w="983" w:type="pct"/>
            <w:vAlign w:val="center"/>
          </w:tcPr>
          <w:p>
            <w:pPr>
              <w:spacing w:line="300" w:lineRule="exact"/>
              <w:jc w:val="center"/>
              <w:rPr>
                <w:rFonts w:ascii="宋体" w:hAnsi="宋体" w:cs="宋体"/>
                <w:szCs w:val="21"/>
              </w:rPr>
            </w:pPr>
          </w:p>
        </w:tc>
        <w:tc>
          <w:tcPr>
            <w:tcW w:w="924" w:type="pct"/>
            <w:vAlign w:val="center"/>
          </w:tcPr>
          <w:p>
            <w:pPr>
              <w:spacing w:line="300" w:lineRule="exact"/>
              <w:jc w:val="center"/>
              <w:rPr>
                <w:rFonts w:ascii="宋体" w:hAnsi="宋体" w:cs="宋体"/>
                <w:szCs w:val="21"/>
              </w:rPr>
            </w:pPr>
          </w:p>
        </w:tc>
      </w:tr>
    </w:tbl>
    <w:p>
      <w:pPr>
        <w:pStyle w:val="7"/>
        <w:rPr>
          <w:spacing w:val="20"/>
          <w:sz w:val="21"/>
          <w:szCs w:val="21"/>
        </w:rPr>
      </w:pPr>
      <w:r>
        <w:rPr>
          <w:rFonts w:hint="eastAsia"/>
          <w:sz w:val="21"/>
          <w:szCs w:val="21"/>
        </w:rPr>
        <w:t>注：以上实质性响应情况请各单位自行对照招标要求，填写是否响应的具体情况，并标清所在页码。</w:t>
      </w: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9"/>
        <w:ind w:firstLine="210"/>
        <w:rPr>
          <w:rFonts w:ascii="微软雅黑" w:hAnsi="微软雅黑" w:eastAsia="微软雅黑"/>
        </w:rPr>
      </w:pPr>
    </w:p>
    <w:p>
      <w:pPr>
        <w:spacing w:line="400" w:lineRule="exact"/>
        <w:rPr>
          <w:rFonts w:ascii="微软雅黑" w:hAnsi="微软雅黑" w:eastAsia="微软雅黑"/>
        </w:rPr>
      </w:pPr>
      <w:r>
        <w:rPr>
          <w:rFonts w:hint="eastAsia" w:ascii="微软雅黑" w:hAnsi="微软雅黑" w:eastAsia="微软雅黑"/>
        </w:rPr>
        <w:t xml:space="preserve"> </w:t>
      </w: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snapToGrid w:val="0"/>
        <w:spacing w:before="50" w:after="50"/>
        <w:rPr>
          <w:rFonts w:ascii="宋体" w:hAnsi="宋体"/>
          <w:b/>
          <w:sz w:val="28"/>
          <w:szCs w:val="28"/>
        </w:rPr>
      </w:pPr>
      <w:r>
        <w:rPr>
          <w:rFonts w:hint="eastAsia" w:ascii="宋体" w:hAnsi="宋体"/>
          <w:b/>
          <w:sz w:val="28"/>
          <w:szCs w:val="28"/>
        </w:rPr>
        <w:t>附件2-4：</w:t>
      </w:r>
    </w:p>
    <w:p>
      <w:pPr>
        <w:pStyle w:val="2"/>
        <w:spacing w:before="120"/>
        <w:rPr>
          <w:spacing w:val="20"/>
          <w:szCs w:val="21"/>
          <w:u w:val="single"/>
        </w:rPr>
      </w:pPr>
    </w:p>
    <w:p>
      <w:pPr>
        <w:snapToGrid w:val="0"/>
        <w:spacing w:beforeLines="50" w:after="50"/>
        <w:jc w:val="center"/>
        <w:rPr>
          <w:b/>
          <w:sz w:val="30"/>
          <w:szCs w:val="30"/>
        </w:rPr>
      </w:pPr>
      <w:r>
        <w:rPr>
          <w:rFonts w:hint="eastAsia"/>
          <w:b/>
          <w:sz w:val="30"/>
          <w:szCs w:val="30"/>
        </w:rPr>
        <w:t>项目主要实施人员（主要从业人员及其技术资格）一览表</w:t>
      </w:r>
    </w:p>
    <w:p>
      <w:pPr>
        <w:snapToGrid w:val="0"/>
        <w:spacing w:beforeLines="50" w:after="50"/>
        <w:jc w:val="center"/>
        <w:rPr>
          <w:rFonts w:cs="Arial"/>
          <w:szCs w:val="21"/>
        </w:rPr>
      </w:pPr>
    </w:p>
    <w:p>
      <w:pPr>
        <w:pStyle w:val="5"/>
        <w:snapToGrid w:val="0"/>
        <w:rPr>
          <w:rFonts w:ascii="Times New Roman" w:hAnsi="Times New Roman" w:eastAsia="宋体"/>
          <w:sz w:val="21"/>
          <w:szCs w:val="21"/>
        </w:rPr>
      </w:pPr>
      <w:r>
        <w:rPr>
          <w:rFonts w:hint="eastAsia" w:ascii="Times New Roman" w:hAnsi="Times New Roman" w:eastAsia="宋体"/>
          <w:sz w:val="21"/>
          <w:szCs w:val="21"/>
        </w:rPr>
        <w:t>项目名称：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 xml:space="preserve">  项目编号：       </w:t>
      </w:r>
    </w:p>
    <w:tbl>
      <w:tblPr>
        <w:tblStyle w:val="22"/>
        <w:tblW w:w="5093" w:type="pct"/>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2"/>
        <w:gridCol w:w="816"/>
        <w:gridCol w:w="1472"/>
        <w:gridCol w:w="1300"/>
        <w:gridCol w:w="1107"/>
        <w:gridCol w:w="1626"/>
        <w:gridCol w:w="1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职务</w:t>
            </w: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姓名</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要求</w:t>
            </w: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专业技</w:t>
            </w:r>
          </w:p>
          <w:p>
            <w:pPr>
              <w:jc w:val="center"/>
              <w:rPr>
                <w:rFonts w:ascii="宋体" w:cs="宋体"/>
                <w:bCs/>
                <w:szCs w:val="21"/>
              </w:rPr>
            </w:pPr>
            <w:r>
              <w:rPr>
                <w:rFonts w:hint="eastAsia" w:ascii="宋体" w:cs="宋体"/>
                <w:bCs/>
                <w:szCs w:val="21"/>
              </w:rPr>
              <w:t>术资格</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证书</w:t>
            </w:r>
          </w:p>
          <w:p>
            <w:pPr>
              <w:jc w:val="center"/>
              <w:rPr>
                <w:rFonts w:ascii="宋体" w:cs="宋体"/>
                <w:bCs/>
                <w:szCs w:val="21"/>
              </w:rPr>
            </w:pPr>
            <w:r>
              <w:rPr>
                <w:rFonts w:hint="eastAsia" w:ascii="宋体" w:cs="宋体"/>
                <w:bCs/>
                <w:szCs w:val="21"/>
              </w:rPr>
              <w:t>编号</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年龄</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 xml:space="preserve">社保所在页码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项目负责人</w:t>
            </w: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r>
              <w:rPr>
                <w:rFonts w:hint="eastAsia" w:ascii="宋体" w:cs="宋体"/>
                <w:bCs/>
                <w:szCs w:val="21"/>
              </w:rPr>
              <w:t>副工程师及以上职称</w:t>
            </w: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运维技术负责人</w:t>
            </w: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r>
              <w:rPr>
                <w:rFonts w:hint="eastAsia" w:ascii="宋体" w:cs="宋体"/>
                <w:bCs/>
                <w:szCs w:val="21"/>
              </w:rPr>
              <w:t>中级工程师及以上职称</w:t>
            </w: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化验室负责人</w:t>
            </w: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r>
              <w:rPr>
                <w:rFonts w:hint="eastAsia" w:ascii="宋体" w:cs="宋体"/>
                <w:bCs/>
                <w:szCs w:val="21"/>
              </w:rPr>
              <w:t>中级工程师及以上职称</w:t>
            </w: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信息中心负责人</w:t>
            </w: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r>
              <w:rPr>
                <w:rFonts w:hint="eastAsia" w:ascii="宋体" w:cs="宋体"/>
                <w:bCs/>
                <w:szCs w:val="21"/>
              </w:rPr>
              <w:t>中级工程师及以上职称</w:t>
            </w: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服务站负责人</w:t>
            </w: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r>
              <w:rPr>
                <w:rFonts w:hint="eastAsia" w:ascii="宋体" w:cs="宋体"/>
                <w:bCs/>
                <w:szCs w:val="21"/>
              </w:rPr>
              <w:t>年龄在60岁以下</w:t>
            </w: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bl>
    <w:p>
      <w:pPr>
        <w:snapToGrid w:val="0"/>
        <w:spacing w:before="50" w:afterLines="50" w:line="460" w:lineRule="exact"/>
        <w:jc w:val="left"/>
        <w:rPr>
          <w:szCs w:val="21"/>
        </w:rPr>
      </w:pPr>
      <w:r>
        <w:rPr>
          <w:rFonts w:hint="eastAsia"/>
          <w:szCs w:val="21"/>
        </w:rPr>
        <w:t xml:space="preserve">注：在填写时，如本表格不适合谈判响应单位的实际情况，可根据本表格式自行划表填写。 </w:t>
      </w:r>
    </w:p>
    <w:p>
      <w:pPr>
        <w:ind w:firstLine="420" w:firstLineChars="200"/>
        <w:rPr>
          <w:szCs w:val="22"/>
        </w:rPr>
      </w:pPr>
      <w:r>
        <w:rPr>
          <w:rFonts w:hint="eastAsia"/>
        </w:rPr>
        <w:t>必须提供近三个月连续社保；</w:t>
      </w:r>
      <w:r>
        <w:rPr>
          <w:rFonts w:hint="eastAsia"/>
          <w:szCs w:val="22"/>
        </w:rPr>
        <w:t>（1-6月任意连续三月即可）</w:t>
      </w:r>
    </w:p>
    <w:p>
      <w:pPr>
        <w:pStyle w:val="2"/>
        <w:spacing w:before="120"/>
      </w:pPr>
    </w:p>
    <w:p>
      <w:pPr>
        <w:snapToGrid w:val="0"/>
        <w:spacing w:before="50" w:afterLines="50" w:line="460" w:lineRule="exact"/>
        <w:jc w:val="left"/>
        <w:rPr>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pStyle w:val="9"/>
        <w:ind w:firstLine="210"/>
        <w:rPr>
          <w:rFonts w:ascii="微软雅黑" w:hAnsi="微软雅黑" w:eastAsia="微软雅黑"/>
        </w:rPr>
      </w:pPr>
    </w:p>
    <w:p>
      <w:pPr>
        <w:snapToGrid w:val="0"/>
        <w:spacing w:before="50" w:after="50"/>
        <w:rPr>
          <w:rFonts w:ascii="宋体" w:hAnsi="宋体"/>
          <w:b/>
          <w:sz w:val="28"/>
          <w:szCs w:val="28"/>
        </w:rPr>
      </w:pPr>
      <w:r>
        <w:rPr>
          <w:rFonts w:hint="eastAsia" w:ascii="宋体" w:hAnsi="宋体"/>
          <w:b/>
          <w:sz w:val="28"/>
          <w:szCs w:val="28"/>
        </w:rPr>
        <w:t>附件2-5：</w:t>
      </w:r>
    </w:p>
    <w:p>
      <w:pPr>
        <w:spacing w:line="360" w:lineRule="auto"/>
        <w:jc w:val="center"/>
        <w:rPr>
          <w:rFonts w:ascii="宋体" w:cs="宋体"/>
          <w:b/>
          <w:sz w:val="24"/>
          <w:szCs w:val="24"/>
          <w:shd w:val="clear" w:color="auto" w:fill="FFFFFF"/>
        </w:rPr>
      </w:pPr>
      <w:r>
        <w:rPr>
          <w:rFonts w:hint="eastAsia" w:ascii="宋体" w:hAnsi="宋体" w:cs="宋体"/>
          <w:b/>
          <w:sz w:val="28"/>
          <w:szCs w:val="28"/>
        </w:rPr>
        <w:t>养护人员配置承诺书</w:t>
      </w:r>
    </w:p>
    <w:p>
      <w:pPr>
        <w:pStyle w:val="5"/>
        <w:snapToGrid w:val="0"/>
        <w:spacing w:line="320" w:lineRule="atLeast"/>
      </w:pPr>
      <w:r>
        <w:rPr>
          <w:rFonts w:hint="eastAsia" w:ascii="宋体" w:hAnsi="宋体" w:eastAsia="宋体" w:cs="宋体"/>
          <w:sz w:val="21"/>
          <w:szCs w:val="21"/>
          <w:u w:val="single"/>
        </w:rPr>
        <w:t>单位全称（公章）：</w:t>
      </w:r>
      <w:r>
        <w:rPr>
          <w:rFonts w:ascii="宋体" w:hAnsi="宋体" w:eastAsia="宋体" w:cs="宋体"/>
          <w:sz w:val="21"/>
          <w:szCs w:val="21"/>
        </w:rPr>
        <w:t xml:space="preserve"> </w:t>
      </w:r>
      <w:r>
        <w:rPr>
          <w:rFonts w:hint="eastAsia" w:ascii="宋体" w:hAnsi="宋体" w:eastAsia="宋体" w:cs="宋体"/>
          <w:sz w:val="21"/>
          <w:szCs w:val="21"/>
        </w:rPr>
        <w:t xml:space="preserve">            项目编号：</w:t>
      </w:r>
    </w:p>
    <w:tbl>
      <w:tblPr>
        <w:tblStyle w:val="22"/>
        <w:tblW w:w="5044" w:type="pct"/>
        <w:tblInd w:w="0" w:type="dxa"/>
        <w:tblLayout w:type="autofit"/>
        <w:tblCellMar>
          <w:top w:w="0" w:type="dxa"/>
          <w:left w:w="108" w:type="dxa"/>
          <w:bottom w:w="0" w:type="dxa"/>
          <w:right w:w="108" w:type="dxa"/>
        </w:tblCellMar>
      </w:tblPr>
      <w:tblGrid>
        <w:gridCol w:w="1261"/>
        <w:gridCol w:w="1629"/>
        <w:gridCol w:w="2319"/>
        <w:gridCol w:w="2189"/>
        <w:gridCol w:w="1970"/>
      </w:tblGrid>
      <w:tr>
        <w:tblPrEx>
          <w:tblCellMar>
            <w:top w:w="0" w:type="dxa"/>
            <w:left w:w="108" w:type="dxa"/>
            <w:bottom w:w="0" w:type="dxa"/>
            <w:right w:w="108" w:type="dxa"/>
          </w:tblCellMar>
        </w:tblPrEx>
        <w:trPr>
          <w:trHeight w:val="380" w:hRule="atLeast"/>
        </w:trPr>
        <w:tc>
          <w:tcPr>
            <w:tcW w:w="6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序号</w:t>
            </w:r>
          </w:p>
        </w:tc>
        <w:tc>
          <w:tcPr>
            <w:tcW w:w="869"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职务</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招标文件要求养护人数</w:t>
            </w:r>
          </w:p>
        </w:tc>
        <w:tc>
          <w:tcPr>
            <w:tcW w:w="116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承诺配备的养护人数</w:t>
            </w:r>
          </w:p>
        </w:tc>
        <w:tc>
          <w:tcPr>
            <w:tcW w:w="105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hAnsi="宋体" w:cs="宋体"/>
                <w:kern w:val="0"/>
                <w:szCs w:val="21"/>
              </w:rPr>
              <w:t>超出文件要求数量</w:t>
            </w:r>
          </w:p>
        </w:tc>
      </w:tr>
      <w:tr>
        <w:tblPrEx>
          <w:tblCellMar>
            <w:top w:w="0" w:type="dxa"/>
            <w:left w:w="108" w:type="dxa"/>
            <w:bottom w:w="0" w:type="dxa"/>
            <w:right w:w="108" w:type="dxa"/>
          </w:tblCellMar>
        </w:tblPrEx>
        <w:trPr>
          <w:trHeight w:val="816" w:hRule="atLeast"/>
        </w:trPr>
        <w:tc>
          <w:tcPr>
            <w:tcW w:w="673"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869"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养护人员</w:t>
            </w:r>
          </w:p>
        </w:tc>
        <w:tc>
          <w:tcPr>
            <w:tcW w:w="1237" w:type="pct"/>
            <w:tcBorders>
              <w:top w:val="nil"/>
              <w:left w:val="nil"/>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30</w:t>
            </w: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r>
        <w:tblPrEx>
          <w:tblCellMar>
            <w:top w:w="0" w:type="dxa"/>
            <w:left w:w="108" w:type="dxa"/>
            <w:bottom w:w="0" w:type="dxa"/>
            <w:right w:w="108" w:type="dxa"/>
          </w:tblCellMar>
        </w:tblPrEx>
        <w:trPr>
          <w:trHeight w:val="816" w:hRule="atLeast"/>
        </w:trPr>
        <w:tc>
          <w:tcPr>
            <w:tcW w:w="67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序号</w:t>
            </w:r>
          </w:p>
        </w:tc>
        <w:tc>
          <w:tcPr>
            <w:tcW w:w="8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宋体" w:cs="宋体"/>
                <w:kern w:val="0"/>
                <w:szCs w:val="21"/>
              </w:rPr>
              <w:t>职务</w:t>
            </w:r>
          </w:p>
        </w:tc>
        <w:tc>
          <w:tcPr>
            <w:tcW w:w="1237" w:type="pct"/>
            <w:tcBorders>
              <w:top w:val="single" w:color="auto" w:sz="4" w:space="0"/>
              <w:left w:val="nil"/>
              <w:bottom w:val="single" w:color="auto" w:sz="4" w:space="0"/>
              <w:right w:val="single" w:color="auto" w:sz="4" w:space="0"/>
            </w:tcBorders>
            <w:vAlign w:val="center"/>
          </w:tcPr>
          <w:p>
            <w:pPr>
              <w:widowControl/>
              <w:jc w:val="center"/>
              <w:rPr>
                <w:rFonts w:ascii="宋体" w:cs="宋体"/>
                <w:kern w:val="0"/>
                <w:szCs w:val="21"/>
              </w:rPr>
            </w:pPr>
          </w:p>
        </w:tc>
        <w:tc>
          <w:tcPr>
            <w:tcW w:w="1168"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c>
          <w:tcPr>
            <w:tcW w:w="1051" w:type="pct"/>
            <w:tcBorders>
              <w:top w:val="nil"/>
              <w:left w:val="single" w:color="auto" w:sz="4" w:space="0"/>
              <w:bottom w:val="single" w:color="auto" w:sz="4" w:space="0"/>
              <w:right w:val="single" w:color="auto" w:sz="4" w:space="0"/>
            </w:tcBorders>
            <w:vAlign w:val="center"/>
          </w:tcPr>
          <w:p>
            <w:pPr>
              <w:widowControl/>
              <w:jc w:val="center"/>
              <w:rPr>
                <w:rFonts w:ascii="宋体" w:cs="宋体"/>
                <w:kern w:val="0"/>
                <w:szCs w:val="21"/>
              </w:rPr>
            </w:pPr>
          </w:p>
        </w:tc>
      </w:tr>
    </w:tbl>
    <w:p>
      <w:pPr>
        <w:snapToGrid w:val="0"/>
        <w:spacing w:before="50" w:afterLines="50" w:line="360" w:lineRule="auto"/>
        <w:jc w:val="left"/>
        <w:rPr>
          <w:rFonts w:ascii="宋体" w:cs="宋体"/>
          <w:color w:val="000000"/>
          <w:szCs w:val="21"/>
        </w:rPr>
      </w:pPr>
    </w:p>
    <w:p>
      <w:pPr>
        <w:snapToGrid w:val="0"/>
        <w:spacing w:before="50" w:afterLines="50" w:line="360" w:lineRule="auto"/>
        <w:jc w:val="left"/>
        <w:rPr>
          <w:rFonts w:ascii="宋体" w:cs="宋体"/>
          <w:color w:val="000000"/>
          <w:szCs w:val="21"/>
        </w:rPr>
      </w:pPr>
      <w:r>
        <w:rPr>
          <w:rFonts w:hint="eastAsia" w:ascii="宋体" w:cs="宋体"/>
          <w:color w:val="000000"/>
          <w:szCs w:val="21"/>
        </w:rPr>
        <w:t>本公司承诺中标后养护人员按照投标文件内人数进行配置。</w:t>
      </w:r>
    </w:p>
    <w:p>
      <w:pPr>
        <w:pStyle w:val="2"/>
        <w:spacing w:before="120"/>
      </w:pPr>
    </w:p>
    <w:p>
      <w:pPr>
        <w:spacing w:beforeLines="50" w:afterLines="50" w:line="300" w:lineRule="exact"/>
        <w:ind w:firstLine="420" w:firstLineChars="200"/>
        <w:rPr>
          <w:rFonts w:ascii="宋体" w:cs="宋体"/>
          <w:szCs w:val="21"/>
        </w:rPr>
      </w:pPr>
      <w:r>
        <w:rPr>
          <w:rFonts w:hint="eastAsia" w:ascii="宋体" w:hAnsi="宋体" w:cs="宋体"/>
          <w:szCs w:val="21"/>
        </w:rPr>
        <w:t>供应商（盖章）：</w:t>
      </w:r>
    </w:p>
    <w:p>
      <w:pPr>
        <w:spacing w:beforeLines="50" w:afterLines="50" w:line="300" w:lineRule="exact"/>
        <w:ind w:firstLine="420" w:firstLineChars="200"/>
        <w:rPr>
          <w:rFonts w:ascii="宋体" w:cs="宋体"/>
          <w:szCs w:val="21"/>
        </w:rPr>
      </w:pPr>
      <w:r>
        <w:rPr>
          <w:rFonts w:hint="eastAsia" w:ascii="宋体" w:hAnsi="宋体" w:cs="宋体"/>
          <w:szCs w:val="21"/>
        </w:rPr>
        <w:t>授权代表（签字）：</w:t>
      </w:r>
    </w:p>
    <w:p>
      <w:pPr>
        <w:pStyle w:val="11"/>
        <w:spacing w:before="120" w:after="120" w:line="300" w:lineRule="exact"/>
        <w:ind w:left="359" w:leftChars="171" w:firstLine="105" w:firstLineChars="50"/>
        <w:rPr>
          <w:rFonts w:hAnsi="宋体" w:cs="宋体"/>
          <w:sz w:val="21"/>
          <w:szCs w:val="21"/>
        </w:rPr>
      </w:pPr>
      <w:r>
        <w:rPr>
          <w:rFonts w:hint="eastAsia" w:hAnsi="宋体" w:cs="宋体"/>
          <w:sz w:val="21"/>
          <w:szCs w:val="21"/>
        </w:rPr>
        <w:t>日期：</w:t>
      </w:r>
      <w:r>
        <w:rPr>
          <w:rFonts w:hAnsi="宋体" w:cs="宋体"/>
          <w:sz w:val="21"/>
          <w:szCs w:val="21"/>
        </w:rPr>
        <w:t xml:space="preserve">     </w:t>
      </w:r>
    </w:p>
    <w:p>
      <w:pPr>
        <w:pStyle w:val="9"/>
        <w:ind w:firstLine="210"/>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pStyle w:val="9"/>
        <w:ind w:firstLine="211"/>
        <w:rPr>
          <w:b/>
          <w:szCs w:val="21"/>
        </w:rPr>
      </w:pPr>
    </w:p>
    <w:p>
      <w:pPr>
        <w:snapToGrid w:val="0"/>
        <w:spacing w:before="50" w:after="50"/>
        <w:rPr>
          <w:rFonts w:ascii="宋体" w:hAnsi="宋体"/>
          <w:b/>
          <w:sz w:val="28"/>
          <w:szCs w:val="28"/>
        </w:rPr>
      </w:pPr>
      <w:r>
        <w:rPr>
          <w:rFonts w:hint="eastAsia" w:ascii="宋体" w:hAnsi="宋体"/>
          <w:b/>
          <w:sz w:val="28"/>
          <w:szCs w:val="28"/>
        </w:rPr>
        <w:t>附件2-6：</w:t>
      </w:r>
    </w:p>
    <w:p>
      <w:pPr>
        <w:pStyle w:val="2"/>
        <w:spacing w:before="120"/>
        <w:rPr>
          <w:spacing w:val="20"/>
          <w:szCs w:val="21"/>
          <w:u w:val="single"/>
        </w:rPr>
      </w:pPr>
    </w:p>
    <w:p>
      <w:pPr>
        <w:snapToGrid w:val="0"/>
        <w:spacing w:beforeLines="50" w:after="50"/>
        <w:jc w:val="center"/>
        <w:rPr>
          <w:b/>
          <w:sz w:val="30"/>
          <w:szCs w:val="30"/>
        </w:rPr>
      </w:pPr>
      <w:r>
        <w:rPr>
          <w:rFonts w:hint="eastAsia"/>
          <w:b/>
          <w:sz w:val="30"/>
          <w:szCs w:val="30"/>
        </w:rPr>
        <w:t>项目团队优化情况一览表</w:t>
      </w:r>
    </w:p>
    <w:p>
      <w:pPr>
        <w:snapToGrid w:val="0"/>
        <w:spacing w:beforeLines="50" w:after="50"/>
        <w:jc w:val="center"/>
        <w:rPr>
          <w:rFonts w:cs="Arial"/>
          <w:szCs w:val="21"/>
        </w:rPr>
      </w:pPr>
    </w:p>
    <w:p>
      <w:pPr>
        <w:pStyle w:val="5"/>
        <w:snapToGrid w:val="0"/>
        <w:rPr>
          <w:rFonts w:ascii="Times New Roman" w:hAnsi="Times New Roman" w:eastAsia="宋体"/>
          <w:sz w:val="21"/>
          <w:szCs w:val="21"/>
        </w:rPr>
      </w:pPr>
      <w:r>
        <w:rPr>
          <w:rFonts w:hint="eastAsia" w:ascii="Times New Roman" w:hAnsi="Times New Roman" w:eastAsia="宋体"/>
          <w:sz w:val="21"/>
          <w:szCs w:val="21"/>
        </w:rPr>
        <w:t>项目名称：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 xml:space="preserve">  项目编号：       </w:t>
      </w:r>
    </w:p>
    <w:tbl>
      <w:tblPr>
        <w:tblStyle w:val="22"/>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667"/>
        <w:gridCol w:w="1438"/>
        <w:gridCol w:w="2294"/>
        <w:gridCol w:w="28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职务</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姓名</w:t>
            </w: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证书所在页码</w:t>
            </w: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社保所在页码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环境保护类高级工程师</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环境保护类中级工程师</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环境保护类中级工程师</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持证电工</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持证电工</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持证电工</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持证电工</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地下管道疏通养护员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采样员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采样员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采样员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采样员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化验员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化验员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台帐资料员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平台管理员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信息报送员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安全管理员</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二级建造师（市政专业）或有中级及以上工程师(市政专业)</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二级建造师（市政专业）或有中级及以上工程师(市政专业)</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二级建造师（机电专业）或有中级及以上工程师（机电专业或自动化专业）</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二级建造师（机电专业）或有中级及以上工程师（机电专业或自动化专业）</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3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中级及以上工程师（计算机或信息化或网络专业)</w:t>
            </w:r>
          </w:p>
        </w:tc>
        <w:tc>
          <w:tcPr>
            <w:tcW w:w="77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236"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1550"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tabs>
                <w:tab w:val="left" w:pos="1854"/>
              </w:tabs>
              <w:jc w:val="left"/>
              <w:rPr>
                <w:rFonts w:ascii="宋体" w:cs="宋体"/>
                <w:bCs/>
                <w:szCs w:val="21"/>
              </w:rPr>
            </w:pPr>
            <w:r>
              <w:rPr>
                <w:rFonts w:hint="eastAsia" w:ascii="宋体" w:cs="宋体"/>
                <w:bCs/>
                <w:szCs w:val="21"/>
              </w:rPr>
              <w:t>以上人员必须出具有效证书，人员一经确定不得变更（地下管道养护员、台账资料员、平台管理员、信息报送员证书不作要求）</w:t>
            </w:r>
          </w:p>
        </w:tc>
      </w:tr>
    </w:tbl>
    <w:p>
      <w:pPr>
        <w:snapToGrid w:val="0"/>
        <w:spacing w:before="50" w:afterLines="50" w:line="460" w:lineRule="exact"/>
        <w:jc w:val="left"/>
        <w:rPr>
          <w:szCs w:val="21"/>
        </w:rPr>
      </w:pPr>
      <w:r>
        <w:rPr>
          <w:rFonts w:hint="eastAsia"/>
          <w:szCs w:val="21"/>
        </w:rPr>
        <w:t xml:space="preserve">注：在填写时，如本表格不适合谈判响应单位的实际情况，可根据本表格式自行划表填写。 </w:t>
      </w:r>
    </w:p>
    <w:p>
      <w:pPr>
        <w:tabs>
          <w:tab w:val="left" w:pos="304"/>
        </w:tabs>
        <w:ind w:firstLine="420" w:firstLineChars="200"/>
        <w:rPr>
          <w:szCs w:val="22"/>
        </w:rPr>
      </w:pPr>
      <w:r>
        <w:rPr>
          <w:rFonts w:hint="eastAsia"/>
        </w:rPr>
        <w:t>必须提供近三个月连续社保；</w:t>
      </w:r>
      <w:r>
        <w:rPr>
          <w:rFonts w:hint="eastAsia"/>
          <w:szCs w:val="22"/>
        </w:rPr>
        <w:t>（1-6月任意连续三月即可）</w:t>
      </w:r>
    </w:p>
    <w:p>
      <w:pPr>
        <w:pStyle w:val="2"/>
        <w:spacing w:before="120"/>
      </w:pPr>
    </w:p>
    <w:p>
      <w:pPr>
        <w:snapToGrid w:val="0"/>
        <w:spacing w:before="50" w:afterLines="50" w:line="460" w:lineRule="exact"/>
        <w:jc w:val="left"/>
        <w:rPr>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line="480" w:lineRule="auto"/>
        <w:jc w:val="left"/>
        <w:rPr>
          <w:rFonts w:ascii="宋体" w:hAnsi="宋体" w:cs="宋体"/>
          <w:sz w:val="28"/>
          <w:szCs w:val="28"/>
        </w:rPr>
      </w:pPr>
    </w:p>
    <w:p>
      <w:pPr>
        <w:snapToGrid w:val="0"/>
        <w:spacing w:before="50" w:after="50"/>
        <w:rPr>
          <w:rFonts w:ascii="宋体" w:hAnsi="宋体"/>
          <w:b/>
          <w:sz w:val="28"/>
          <w:szCs w:val="28"/>
        </w:rPr>
      </w:pPr>
      <w:r>
        <w:rPr>
          <w:rFonts w:hint="eastAsia" w:ascii="宋体" w:hAnsi="宋体"/>
          <w:b/>
          <w:sz w:val="28"/>
          <w:szCs w:val="28"/>
        </w:rPr>
        <w:t>附件2-7：</w:t>
      </w:r>
    </w:p>
    <w:p>
      <w:pPr>
        <w:snapToGrid w:val="0"/>
        <w:spacing w:line="480" w:lineRule="auto"/>
        <w:jc w:val="center"/>
        <w:rPr>
          <w:rFonts w:ascii="宋体" w:cs="宋体"/>
          <w:szCs w:val="21"/>
        </w:rPr>
      </w:pPr>
      <w:r>
        <w:rPr>
          <w:rFonts w:hint="eastAsia" w:ascii="宋体" w:hAnsi="宋体" w:cs="宋体"/>
          <w:sz w:val="28"/>
          <w:szCs w:val="28"/>
        </w:rPr>
        <w:t>车辆配备情况表</w:t>
      </w:r>
    </w:p>
    <w:tbl>
      <w:tblPr>
        <w:tblStyle w:val="2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69"/>
        <w:gridCol w:w="731"/>
        <w:gridCol w:w="1739"/>
        <w:gridCol w:w="1860"/>
        <w:gridCol w:w="1574"/>
        <w:gridCol w:w="1318"/>
        <w:gridCol w:w="13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394"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937"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车牌号</w:t>
            </w:r>
          </w:p>
        </w:tc>
        <w:tc>
          <w:tcPr>
            <w:tcW w:w="1002"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规格型号（排量）</w:t>
            </w:r>
          </w:p>
        </w:tc>
        <w:tc>
          <w:tcPr>
            <w:tcW w:w="848"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自有或租赁</w:t>
            </w:r>
          </w:p>
        </w:tc>
        <w:tc>
          <w:tcPr>
            <w:tcW w:w="710"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车辆登记证所在页码</w:t>
            </w:r>
          </w:p>
        </w:tc>
        <w:tc>
          <w:tcPr>
            <w:tcW w:w="745"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车辆行驶证所在页码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基本运维车辆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1</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2</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3</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4</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5</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6</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7</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8</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9</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10</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6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w:t>
            </w:r>
          </w:p>
        </w:tc>
        <w:tc>
          <w:tcPr>
            <w:tcW w:w="39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937"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1002"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8"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1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4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bl>
    <w:p>
      <w:pPr>
        <w:snapToGrid w:val="0"/>
        <w:spacing w:beforeLines="50" w:after="50"/>
        <w:rPr>
          <w:rFonts w:ascii="宋体" w:hAnsi="宋体"/>
          <w:b/>
          <w:sz w:val="28"/>
          <w:szCs w:val="28"/>
        </w:rPr>
      </w:pPr>
    </w:p>
    <w:tbl>
      <w:tblPr>
        <w:tblStyle w:val="22"/>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5"/>
        <w:gridCol w:w="628"/>
        <w:gridCol w:w="1509"/>
        <w:gridCol w:w="1615"/>
        <w:gridCol w:w="1357"/>
        <w:gridCol w:w="1138"/>
        <w:gridCol w:w="1212"/>
        <w:gridCol w:w="1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339"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813"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车牌号</w:t>
            </w:r>
          </w:p>
        </w:tc>
        <w:tc>
          <w:tcPr>
            <w:tcW w:w="870"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规格型号</w:t>
            </w:r>
          </w:p>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（吨位）</w:t>
            </w:r>
          </w:p>
        </w:tc>
        <w:tc>
          <w:tcPr>
            <w:tcW w:w="731"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自有或租赁</w:t>
            </w:r>
          </w:p>
        </w:tc>
        <w:tc>
          <w:tcPr>
            <w:tcW w:w="613"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车辆登记证所在页码</w:t>
            </w:r>
          </w:p>
        </w:tc>
        <w:tc>
          <w:tcPr>
            <w:tcW w:w="653"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车辆行驶证所在页码</w:t>
            </w:r>
          </w:p>
        </w:tc>
        <w:tc>
          <w:tcPr>
            <w:tcW w:w="674" w:type="pct"/>
            <w:tcBorders>
              <w:top w:val="single" w:color="auto" w:sz="4" w:space="0"/>
              <w:left w:val="single" w:color="auto" w:sz="4" w:space="0"/>
              <w:bottom w:val="single" w:color="auto" w:sz="4" w:space="0"/>
              <w:right w:val="single" w:color="auto" w:sz="4" w:space="0"/>
            </w:tcBorders>
            <w:vAlign w:val="center"/>
          </w:tcPr>
          <w:p>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租赁协议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吸污车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1</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2</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3</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以上为必须配备车辆其中至少含1辆规格4吨及以上；以下为本公司承诺额外配置车辆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4</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5</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6</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7</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管道冲洗车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1</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2</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以上为必须配备车辆；以下为本公司承诺额外配置车辆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3</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4</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5</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6</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小型管道疏通车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1</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以上为必须配备车辆；以下为本公司承诺额外配置车辆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2</w:t>
            </w:r>
          </w:p>
        </w:tc>
        <w:tc>
          <w:tcPr>
            <w:tcW w:w="339" w:type="pct"/>
            <w:tcBorders>
              <w:top w:val="single" w:color="auto" w:sz="4" w:space="0"/>
              <w:left w:val="single" w:color="auto" w:sz="4" w:space="0"/>
              <w:bottom w:val="single" w:color="auto" w:sz="4" w:space="0"/>
              <w:right w:val="single" w:color="auto" w:sz="4" w:space="0"/>
            </w:tcBorders>
            <w:vAlign w:val="center"/>
          </w:tcPr>
          <w:p>
            <w:pPr>
              <w:tabs>
                <w:tab w:val="left" w:pos="409"/>
              </w:tabs>
              <w:snapToGrid w:val="0"/>
              <w:spacing w:line="300" w:lineRule="exact"/>
              <w:jc w:val="left"/>
              <w:rPr>
                <w:rFonts w:ascii="宋体" w:hAnsi="宋体"/>
                <w:szCs w:val="21"/>
              </w:rPr>
            </w:pPr>
            <w:r>
              <w:rPr>
                <w:rFonts w:hint="eastAsia" w:ascii="宋体" w:hAnsi="宋体"/>
                <w:szCs w:val="21"/>
              </w:rPr>
              <w:tab/>
            </w: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3</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4</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szCs w:val="21"/>
              </w:rPr>
              <w:t>5</w:t>
            </w:r>
          </w:p>
        </w:tc>
        <w:tc>
          <w:tcPr>
            <w:tcW w:w="33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7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3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1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5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bl>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pStyle w:val="2"/>
        <w:spacing w:before="120"/>
        <w:rPr>
          <w:rFonts w:ascii="宋体" w:hAnsi="宋体"/>
          <w:b/>
          <w:sz w:val="28"/>
          <w:szCs w:val="28"/>
        </w:rPr>
      </w:pPr>
    </w:p>
    <w:p>
      <w:pPr>
        <w:snapToGrid w:val="0"/>
        <w:spacing w:beforeLines="50" w:after="50"/>
        <w:rPr>
          <w:rFonts w:ascii="宋体" w:hAnsi="宋体"/>
          <w:b/>
          <w:sz w:val="32"/>
          <w:szCs w:val="32"/>
        </w:rPr>
      </w:pPr>
      <w:r>
        <w:rPr>
          <w:rFonts w:hint="eastAsia" w:ascii="宋体" w:hAnsi="宋体"/>
          <w:b/>
          <w:sz w:val="28"/>
          <w:szCs w:val="28"/>
        </w:rPr>
        <w:t>附件3：</w:t>
      </w:r>
      <w:r>
        <w:rPr>
          <w:rFonts w:ascii="宋体" w:hAnsi="宋体"/>
          <w:b/>
          <w:sz w:val="32"/>
          <w:szCs w:val="32"/>
        </w:rPr>
        <w:t xml:space="preserve">                                  </w:t>
      </w:r>
      <w:r>
        <w:rPr>
          <w:rFonts w:hint="eastAsia" w:ascii="宋体" w:hAnsi="宋体"/>
          <w:b/>
          <w:sz w:val="32"/>
          <w:szCs w:val="32"/>
        </w:rPr>
        <w:t xml:space="preserve">       正本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ind w:right="-108"/>
        <w:jc w:val="center"/>
        <w:rPr>
          <w:rFonts w:ascii="宋体" w:hAnsi="宋体"/>
          <w:sz w:val="32"/>
          <w:szCs w:val="32"/>
          <w:u w:val="single"/>
        </w:rPr>
      </w:pPr>
      <w:r>
        <w:rPr>
          <w:rFonts w:hint="eastAsia" w:ascii="宋体" w:hAnsi="宋体"/>
          <w:sz w:val="32"/>
          <w:szCs w:val="32"/>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    址：</w:t>
      </w:r>
    </w:p>
    <w:p>
      <w:pPr>
        <w:ind w:right="-108"/>
        <w:rPr>
          <w:rFonts w:ascii="宋体" w:hAnsi="宋体"/>
          <w:sz w:val="32"/>
          <w:szCs w:val="32"/>
        </w:rPr>
      </w:pPr>
      <w:r>
        <w:rPr>
          <w:rFonts w:hint="eastAsia" w:ascii="宋体" w:hAnsi="宋体"/>
          <w:sz w:val="32"/>
          <w:szCs w:val="32"/>
        </w:rPr>
        <w:t>时    间：</w:t>
      </w:r>
    </w:p>
    <w:p>
      <w:pPr>
        <w:pStyle w:val="12"/>
        <w:snapToGrid w:val="0"/>
        <w:ind w:left="-859" w:leftChars="-1190" w:hanging="1640" w:hangingChars="781"/>
        <w:rPr>
          <w:rFonts w:ascii="宋体" w:hAnsi="宋体"/>
          <w:szCs w:val="32"/>
        </w:rPr>
      </w:pPr>
    </w:p>
    <w:p>
      <w:pPr>
        <w:pStyle w:val="12"/>
        <w:snapToGrid w:val="0"/>
        <w:ind w:left="0" w:leftChars="0"/>
        <w:jc w:val="left"/>
        <w:rPr>
          <w:rFonts w:ascii="宋体" w:hAnsi="宋体"/>
          <w:szCs w:val="32"/>
        </w:rPr>
      </w:pPr>
    </w:p>
    <w:p>
      <w:pPr>
        <w:pStyle w:val="12"/>
        <w:snapToGrid w:val="0"/>
        <w:ind w:left="0" w:leftChars="0"/>
        <w:jc w:val="left"/>
        <w:rPr>
          <w:rFonts w:ascii="宋体" w:hAnsi="宋体"/>
          <w:szCs w:val="32"/>
        </w:rPr>
      </w:pPr>
    </w:p>
    <w:p/>
    <w:p/>
    <w:p/>
    <w:p>
      <w:pPr>
        <w:pStyle w:val="12"/>
        <w:snapToGrid w:val="0"/>
        <w:ind w:left="0" w:leftChars="0"/>
        <w:jc w:val="left"/>
        <w:rPr>
          <w:rFonts w:ascii="宋体" w:hAnsi="宋体"/>
          <w:b/>
          <w:szCs w:val="32"/>
        </w:rPr>
      </w:pPr>
      <w:r>
        <w:rPr>
          <w:rFonts w:hint="eastAsia" w:ascii="宋体" w:hAnsi="宋体"/>
          <w:b/>
          <w:szCs w:val="32"/>
        </w:rPr>
        <w:t>报价文件目录（仅供参考）：</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w:t>
      </w:r>
      <w:r>
        <w:rPr>
          <w:rFonts w:hint="eastAsia" w:ascii="宋体" w:hAnsi="宋体"/>
          <w:szCs w:val="21"/>
        </w:rPr>
        <w:t>投标方认为需要的其他文件资料；</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pStyle w:val="11"/>
        <w:snapToGrid w:val="0"/>
        <w:spacing w:beforeLines="0" w:after="120" w:line="240" w:lineRule="auto"/>
        <w:rPr>
          <w:rFonts w:hAnsi="宋体"/>
          <w:b/>
          <w:sz w:val="28"/>
          <w:szCs w:val="28"/>
        </w:rPr>
      </w:pPr>
    </w:p>
    <w:bookmarkEnd w:id="72"/>
    <w:p>
      <w:pPr>
        <w:snapToGrid w:val="0"/>
        <w:spacing w:before="50" w:after="240"/>
        <w:jc w:val="center"/>
        <w:rPr>
          <w:rFonts w:ascii="宋体" w:hAnsi="宋体"/>
          <w:b/>
          <w:sz w:val="36"/>
          <w:szCs w:val="36"/>
        </w:rPr>
      </w:pPr>
      <w:r>
        <w:rPr>
          <w:rFonts w:hint="eastAsia" w:ascii="宋体" w:hAnsi="宋体"/>
          <w:b/>
          <w:sz w:val="36"/>
          <w:szCs w:val="36"/>
        </w:rPr>
        <w:t>开 标 一 览 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u w:val="single"/>
        </w:rPr>
        <w:t xml:space="preserve">                   </w:t>
      </w:r>
      <w:r>
        <w:rPr>
          <w:rFonts w:hint="eastAsia" w:ascii="宋体" w:hAnsi="宋体"/>
          <w:szCs w:val="32"/>
        </w:rPr>
        <w:t xml:space="preserve">      招标编号</w:t>
      </w:r>
      <w:r>
        <w:rPr>
          <w:rFonts w:hint="eastAsia" w:ascii="宋体" w:hAnsi="宋体"/>
          <w:szCs w:val="32"/>
          <w:u w:val="single"/>
        </w:rPr>
        <w:t xml:space="preserve">：        </w:t>
      </w:r>
      <w:r>
        <w:rPr>
          <w:rFonts w:hint="eastAsia" w:ascii="仿宋" w:hAnsi="仿宋" w:eastAsia="仿宋"/>
          <w:b/>
          <w:sz w:val="30"/>
          <w:szCs w:val="30"/>
          <w:u w:val="single"/>
        </w:rPr>
        <w:t xml:space="preserve"> </w:t>
      </w:r>
      <w:r>
        <w:rPr>
          <w:rFonts w:hint="eastAsia" w:ascii="宋体" w:hAnsi="宋体"/>
          <w:szCs w:val="32"/>
          <w:u w:val="single"/>
        </w:rPr>
        <w:t xml:space="preserve"> </w:t>
      </w:r>
      <w:r>
        <w:rPr>
          <w:rFonts w:hint="eastAsia" w:ascii="宋体" w:hAnsi="宋体"/>
          <w:szCs w:val="32"/>
        </w:rPr>
        <w:t xml:space="preserve"> 单位</w:t>
      </w:r>
      <w:r>
        <w:rPr>
          <w:rFonts w:hint="eastAsia" w:ascii="宋体" w:hAnsi="宋体" w:cs="宋体"/>
          <w:color w:val="000000"/>
          <w:kern w:val="0"/>
          <w:szCs w:val="21"/>
        </w:rPr>
        <w:t>（元）</w:t>
      </w:r>
    </w:p>
    <w:tbl>
      <w:tblPr>
        <w:tblStyle w:val="22"/>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412"/>
        <w:gridCol w:w="747"/>
        <w:gridCol w:w="2123"/>
        <w:gridCol w:w="228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088" w:type="dxa"/>
          </w:tcPr>
          <w:p>
            <w:pPr>
              <w:snapToGrid w:val="0"/>
              <w:spacing w:before="50" w:after="50" w:line="400" w:lineRule="exact"/>
              <w:jc w:val="center"/>
              <w:rPr>
                <w:szCs w:val="32"/>
              </w:rPr>
            </w:pPr>
            <w:r>
              <w:rPr>
                <w:rFonts w:hint="eastAsia"/>
                <w:szCs w:val="32"/>
              </w:rPr>
              <w:t>序号</w:t>
            </w:r>
          </w:p>
        </w:tc>
        <w:tc>
          <w:tcPr>
            <w:tcW w:w="2412" w:type="dxa"/>
            <w:vAlign w:val="center"/>
          </w:tcPr>
          <w:p>
            <w:pPr>
              <w:snapToGrid w:val="0"/>
              <w:spacing w:before="50" w:after="50" w:line="400" w:lineRule="exact"/>
              <w:jc w:val="center"/>
              <w:rPr>
                <w:rFonts w:ascii="宋体" w:hAnsi="宋体" w:cs="宋体"/>
                <w:kern w:val="0"/>
                <w:szCs w:val="21"/>
              </w:rPr>
            </w:pPr>
            <w:r>
              <w:rPr>
                <w:rFonts w:hint="eastAsia"/>
                <w:szCs w:val="32"/>
              </w:rPr>
              <w:t>服务名称</w:t>
            </w:r>
          </w:p>
        </w:tc>
        <w:tc>
          <w:tcPr>
            <w:tcW w:w="747" w:type="dxa"/>
            <w:vAlign w:val="center"/>
          </w:tcPr>
          <w:p>
            <w:pPr>
              <w:snapToGrid w:val="0"/>
              <w:spacing w:before="50" w:after="50" w:line="400" w:lineRule="exact"/>
              <w:jc w:val="center"/>
              <w:rPr>
                <w:szCs w:val="32"/>
              </w:rPr>
            </w:pPr>
            <w:r>
              <w:rPr>
                <w:rFonts w:hint="eastAsia"/>
                <w:szCs w:val="32"/>
              </w:rPr>
              <w:t>数量</w:t>
            </w:r>
          </w:p>
        </w:tc>
        <w:tc>
          <w:tcPr>
            <w:tcW w:w="212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投标报价（单价合计）</w:t>
            </w:r>
          </w:p>
        </w:tc>
        <w:tc>
          <w:tcPr>
            <w:tcW w:w="228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228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88" w:type="dxa"/>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2412" w:type="dxa"/>
            <w:vAlign w:val="center"/>
          </w:tcPr>
          <w:p>
            <w:pPr>
              <w:snapToGrid w:val="0"/>
              <w:spacing w:line="380" w:lineRule="atLeast"/>
              <w:jc w:val="center"/>
              <w:rPr>
                <w:rFonts w:ascii="宋体" w:hAnsi="宋体" w:cs="宋体"/>
                <w:szCs w:val="21"/>
              </w:rPr>
            </w:pPr>
            <w:r>
              <w:rPr>
                <w:rFonts w:hint="eastAsia" w:ascii="宋体" w:hAnsi="宋体" w:cs="宋体"/>
                <w:szCs w:val="21"/>
              </w:rPr>
              <w:t xml:space="preserve">农村生活污水运维服务 </w:t>
            </w:r>
          </w:p>
        </w:tc>
        <w:tc>
          <w:tcPr>
            <w:tcW w:w="747" w:type="dxa"/>
            <w:vAlign w:val="center"/>
          </w:tcPr>
          <w:p>
            <w:pPr>
              <w:snapToGrid w:val="0"/>
              <w:spacing w:before="50" w:after="50" w:line="400" w:lineRule="exact"/>
              <w:jc w:val="center"/>
              <w:rPr>
                <w:szCs w:val="32"/>
              </w:rPr>
            </w:pPr>
            <w:r>
              <w:rPr>
                <w:rFonts w:hint="eastAsia"/>
                <w:szCs w:val="32"/>
              </w:rPr>
              <w:t>1年</w:t>
            </w:r>
          </w:p>
        </w:tc>
        <w:tc>
          <w:tcPr>
            <w:tcW w:w="212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/万元/年</w:t>
            </w:r>
          </w:p>
        </w:tc>
        <w:tc>
          <w:tcPr>
            <w:tcW w:w="2284" w:type="dxa"/>
            <w:vAlign w:val="center"/>
          </w:tcPr>
          <w:p>
            <w:pPr>
              <w:widowControl/>
              <w:jc w:val="center"/>
              <w:rPr>
                <w:rFonts w:ascii="宋体" w:hAnsi="宋体" w:cs="宋体"/>
                <w:color w:val="000000"/>
                <w:kern w:val="0"/>
                <w:szCs w:val="21"/>
              </w:rPr>
            </w:pPr>
          </w:p>
        </w:tc>
        <w:tc>
          <w:tcPr>
            <w:tcW w:w="228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本项目面向中小微企业采购，不使用</w:t>
            </w:r>
            <w:r>
              <w:rPr>
                <w:rFonts w:hint="eastAsia" w:ascii="宋体" w:hAnsi="宋体"/>
                <w:szCs w:val="32"/>
              </w:rPr>
              <w:t>政策扣除方式计算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654" w:type="dxa"/>
            <w:gridSpan w:val="5"/>
            <w:vAlign w:val="center"/>
          </w:tcPr>
          <w:p>
            <w:pPr>
              <w:widowControl/>
              <w:rPr>
                <w:rFonts w:ascii="宋体" w:hAnsi="宋体" w:cs="宋体"/>
                <w:color w:val="000000"/>
                <w:kern w:val="0"/>
                <w:szCs w:val="21"/>
              </w:rPr>
            </w:pPr>
            <w:r>
              <w:rPr>
                <w:rFonts w:hint="eastAsia"/>
                <w:szCs w:val="32"/>
              </w:rPr>
              <w:t xml:space="preserve">合计金额大写：                           小写： ￥       </w:t>
            </w:r>
          </w:p>
        </w:tc>
        <w:tc>
          <w:tcPr>
            <w:tcW w:w="2284" w:type="dxa"/>
            <w:vMerge w:val="continue"/>
            <w:vAlign w:val="center"/>
          </w:tcPr>
          <w:p>
            <w:pPr>
              <w:widowControl/>
              <w:rPr>
                <w:szCs w:val="32"/>
              </w:rPr>
            </w:pPr>
          </w:p>
        </w:tc>
      </w:tr>
    </w:tbl>
    <w:p>
      <w:pPr>
        <w:snapToGrid w:val="0"/>
        <w:spacing w:before="50" w:after="50"/>
        <w:ind w:left="1016" w:leftChars="134" w:hanging="735" w:hangingChars="350"/>
        <w:jc w:val="left"/>
        <w:rPr>
          <w:rFonts w:ascii="宋体" w:hAnsi="宋体"/>
          <w:szCs w:val="32"/>
        </w:rPr>
      </w:pPr>
    </w:p>
    <w:p>
      <w:pPr>
        <w:snapToGrid w:val="0"/>
        <w:spacing w:before="50" w:after="50"/>
        <w:ind w:firstLine="210" w:firstLineChars="100"/>
        <w:jc w:val="left"/>
        <w:rPr>
          <w:rFonts w:ascii="宋体" w:hAnsi="宋体"/>
          <w:szCs w:val="32"/>
        </w:rPr>
      </w:pPr>
      <w:r>
        <w:rPr>
          <w:rFonts w:hint="eastAsia" w:ascii="宋体" w:hAnsi="宋体"/>
          <w:szCs w:val="32"/>
        </w:rPr>
        <w:t>注: 1、此表报价单不得涂改，请按规定要求填报。</w:t>
      </w:r>
    </w:p>
    <w:p>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pPr>
        <w:snapToGrid w:val="0"/>
        <w:spacing w:before="50" w:after="50"/>
        <w:ind w:firstLine="630" w:firstLineChars="300"/>
        <w:jc w:val="left"/>
        <w:rPr>
          <w:rFonts w:ascii="宋体" w:hAnsi="宋体"/>
          <w:szCs w:val="32"/>
        </w:rPr>
      </w:pPr>
      <w:r>
        <w:rPr>
          <w:rFonts w:hint="eastAsia" w:ascii="宋体" w:hAnsi="宋体"/>
          <w:szCs w:val="32"/>
        </w:rPr>
        <w:t>3、项目费用包括项目实施所需的工程费、工时费、服务费、运输费、安装调试费、税费及其他费用。</w:t>
      </w:r>
    </w:p>
    <w:p>
      <w:pPr>
        <w:snapToGrid w:val="0"/>
        <w:spacing w:before="50" w:after="50"/>
        <w:jc w:val="left"/>
        <w:rPr>
          <w:rFonts w:ascii="宋体" w:hAnsi="宋体"/>
          <w:szCs w:val="32"/>
        </w:rPr>
      </w:pPr>
      <w:r>
        <w:rPr>
          <w:rFonts w:hint="eastAsia" w:ascii="宋体" w:hAnsi="宋体"/>
          <w:szCs w:val="32"/>
        </w:rPr>
        <w:t xml:space="preserve">    </w:t>
      </w:r>
    </w:p>
    <w:p>
      <w:pPr>
        <w:snapToGrid w:val="0"/>
        <w:spacing w:before="50" w:after="50"/>
        <w:jc w:val="left"/>
        <w:rPr>
          <w:rFonts w:ascii="宋体" w:hAnsi="宋体"/>
          <w:szCs w:val="32"/>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pStyle w:val="11"/>
        <w:snapToGrid w:val="0"/>
        <w:spacing w:beforeLines="0" w:after="120" w:line="240" w:lineRule="auto"/>
        <w:rPr>
          <w:rFonts w:hAnsi="宋体"/>
          <w:b/>
          <w:sz w:val="28"/>
          <w:szCs w:val="28"/>
        </w:rPr>
      </w:pPr>
      <w:r>
        <w:rPr>
          <w:rFonts w:hint="eastAsia" w:hAnsi="宋体"/>
          <w:b/>
          <w:sz w:val="28"/>
          <w:szCs w:val="28"/>
        </w:rPr>
        <w:t>附件3-2：</w:t>
      </w:r>
    </w:p>
    <w:p>
      <w:pPr>
        <w:pStyle w:val="11"/>
        <w:snapToGrid w:val="0"/>
        <w:spacing w:beforeLines="0" w:after="120" w:line="240" w:lineRule="auto"/>
        <w:jc w:val="center"/>
        <w:rPr>
          <w:rFonts w:hAnsi="宋体"/>
          <w:b/>
          <w:sz w:val="32"/>
          <w:szCs w:val="32"/>
        </w:rPr>
      </w:pPr>
      <w:r>
        <w:rPr>
          <w:rFonts w:hAnsi="宋体"/>
          <w:b/>
          <w:sz w:val="32"/>
          <w:szCs w:val="32"/>
        </w:rPr>
        <w:t>投</w:t>
      </w:r>
      <w:r>
        <w:rPr>
          <w:rFonts w:hint="eastAsia" w:hAnsi="宋体"/>
          <w:b/>
          <w:sz w:val="32"/>
          <w:szCs w:val="32"/>
        </w:rPr>
        <w:t xml:space="preserve"> </w:t>
      </w:r>
      <w:r>
        <w:rPr>
          <w:rFonts w:hAnsi="宋体"/>
          <w:b/>
          <w:sz w:val="32"/>
          <w:szCs w:val="32"/>
        </w:rPr>
        <w:t>标</w:t>
      </w:r>
      <w:r>
        <w:rPr>
          <w:rFonts w:hint="eastAsia" w:hAnsi="宋体"/>
          <w:b/>
          <w:sz w:val="32"/>
          <w:szCs w:val="32"/>
        </w:rPr>
        <w:t xml:space="preserve"> </w:t>
      </w:r>
      <w:r>
        <w:rPr>
          <w:rFonts w:hAnsi="宋体"/>
          <w:b/>
          <w:sz w:val="32"/>
          <w:szCs w:val="32"/>
        </w:rPr>
        <w:t>报</w:t>
      </w:r>
      <w:r>
        <w:rPr>
          <w:rFonts w:hint="eastAsia" w:hAnsi="宋体"/>
          <w:b/>
          <w:sz w:val="32"/>
          <w:szCs w:val="32"/>
        </w:rPr>
        <w:t xml:space="preserve"> </w:t>
      </w:r>
      <w:r>
        <w:rPr>
          <w:rFonts w:hAnsi="宋体"/>
          <w:b/>
          <w:sz w:val="32"/>
          <w:szCs w:val="32"/>
        </w:rPr>
        <w:t>价</w:t>
      </w:r>
      <w:r>
        <w:rPr>
          <w:rFonts w:hint="eastAsia" w:hAnsi="宋体"/>
          <w:b/>
          <w:sz w:val="32"/>
          <w:szCs w:val="32"/>
        </w:rPr>
        <w:t xml:space="preserve"> </w:t>
      </w:r>
      <w:r>
        <w:rPr>
          <w:rFonts w:hAnsi="宋体"/>
          <w:b/>
          <w:sz w:val="32"/>
          <w:szCs w:val="32"/>
        </w:rPr>
        <w:t>明</w:t>
      </w:r>
      <w:r>
        <w:rPr>
          <w:rFonts w:hint="eastAsia" w:hAnsi="宋体"/>
          <w:b/>
          <w:sz w:val="32"/>
          <w:szCs w:val="32"/>
        </w:rPr>
        <w:t xml:space="preserve"> </w:t>
      </w:r>
      <w:r>
        <w:rPr>
          <w:rFonts w:hAnsi="宋体"/>
          <w:b/>
          <w:sz w:val="32"/>
          <w:szCs w:val="32"/>
        </w:rPr>
        <w:t>细</w:t>
      </w:r>
      <w:r>
        <w:rPr>
          <w:rFonts w:hint="eastAsia" w:hAnsi="宋体"/>
          <w:b/>
          <w:sz w:val="32"/>
          <w:szCs w:val="32"/>
        </w:rPr>
        <w:t xml:space="preserve"> </w:t>
      </w:r>
      <w:r>
        <w:rPr>
          <w:rFonts w:hAnsi="宋体"/>
          <w:b/>
          <w:sz w:val="32"/>
          <w:szCs w:val="32"/>
        </w:rPr>
        <w:t>表</w:t>
      </w:r>
    </w:p>
    <w:tbl>
      <w:tblPr>
        <w:tblStyle w:val="22"/>
        <w:tblW w:w="523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0"/>
        <w:gridCol w:w="1956"/>
        <w:gridCol w:w="2368"/>
        <w:gridCol w:w="1536"/>
        <w:gridCol w:w="1211"/>
        <w:gridCol w:w="1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序号</w:t>
            </w:r>
          </w:p>
        </w:tc>
        <w:tc>
          <w:tcPr>
            <w:tcW w:w="1006"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类型名称</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具体内容</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数量（按实际结算）</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投标价</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最高限价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1006"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农村生活污水终端设施远程智能化改造</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终端智能化改造，确保运维软件可实现但不限于终端图像抓拍、用电设备工况采集、流量数据读取、设备远程操控等功能。</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150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万元/套</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0.6万元/套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2</w:t>
            </w:r>
          </w:p>
        </w:tc>
        <w:tc>
          <w:tcPr>
            <w:tcW w:w="1006"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水质在线检测设备运行维护</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是指对在线水质检测仪器设备进行维护，按要求更换水质检测耗材，保障数据正常显示和报送</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4</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万元/套·年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12万元/套·年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3</w:t>
            </w:r>
          </w:p>
        </w:tc>
        <w:tc>
          <w:tcPr>
            <w:tcW w:w="1006" w:type="pct"/>
            <w:vMerge w:val="restart"/>
            <w:tcBorders>
              <w:top w:val="single" w:color="auto" w:sz="4" w:space="0"/>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农村生活污水终端设施运行维护</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6T/D-29T/D 微动力终端运行维护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310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1.35万元/座·年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4</w:t>
            </w:r>
          </w:p>
        </w:tc>
        <w:tc>
          <w:tcPr>
            <w:tcW w:w="1006" w:type="pct"/>
            <w:vMerge w:val="continue"/>
            <w:tcBorders>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30T/D-99T/D 微动力终端运行维护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85</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1.95万元/座·年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5</w:t>
            </w:r>
          </w:p>
        </w:tc>
        <w:tc>
          <w:tcPr>
            <w:tcW w:w="1006" w:type="pct"/>
            <w:vMerge w:val="continue"/>
            <w:tcBorders>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100T/D-199T/D 微动力终端运行维护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35</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2.75万元/座·年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6</w:t>
            </w:r>
          </w:p>
        </w:tc>
        <w:tc>
          <w:tcPr>
            <w:tcW w:w="1006" w:type="pct"/>
            <w:vMerge w:val="continue"/>
            <w:tcBorders>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200T/D以上(含200T/D)微动力终端运行维护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25</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5.6万元/座·年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7</w:t>
            </w:r>
          </w:p>
        </w:tc>
        <w:tc>
          <w:tcPr>
            <w:tcW w:w="1006" w:type="pct"/>
            <w:vMerge w:val="continue"/>
            <w:tcBorders>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户用处理设施（罐）运行维护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530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0.75万元/座·年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8</w:t>
            </w:r>
          </w:p>
        </w:tc>
        <w:tc>
          <w:tcPr>
            <w:tcW w:w="1006" w:type="pct"/>
            <w:vMerge w:val="continue"/>
            <w:tcBorders>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无动力人工湿地运行维护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230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0.3万元/座·年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9</w:t>
            </w:r>
          </w:p>
        </w:tc>
        <w:tc>
          <w:tcPr>
            <w:tcW w:w="1006" w:type="pct"/>
            <w:vMerge w:val="restart"/>
            <w:tcBorders>
              <w:top w:val="single" w:color="auto" w:sz="4" w:space="0"/>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农村生活污水管网及其他设施运行维护</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简易设施（无动力）运行维护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1500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0.04万元/座·年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10</w:t>
            </w:r>
          </w:p>
        </w:tc>
        <w:tc>
          <w:tcPr>
            <w:tcW w:w="1006" w:type="pct"/>
            <w:vMerge w:val="continue"/>
            <w:tcBorders>
              <w:left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提升泵站维护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50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万元/座·年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0.375万元/座·年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5"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11</w:t>
            </w:r>
          </w:p>
        </w:tc>
        <w:tc>
          <w:tcPr>
            <w:tcW w:w="1006" w:type="pct"/>
            <w:vMerge w:val="continue"/>
            <w:tcBorders>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是指除终端设施（微动力终端、户用处理罐、无动力人工湿地）、提升泵站、简易设施（无动力）以外的其他所有农村生活污水治理设施及其附属设施（包含但不限于管网、清扫井、化粪池、隔油池、检查井、生态池等）运行维护。</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50000</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万元/户·年</w:t>
            </w: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0.019万元/户·年</w:t>
            </w: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5"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12</w:t>
            </w:r>
          </w:p>
        </w:tc>
        <w:tc>
          <w:tcPr>
            <w:tcW w:w="1006"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省县管理平台运行维护费及污泥等废弃物处置</w:t>
            </w:r>
          </w:p>
        </w:tc>
        <w:tc>
          <w:tcPr>
            <w:tcW w:w="1218"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是指按照省市县主管部门要求，对省、县农村生活污水处理设施运维监督管理平台进行数据上报、补充、更新等维护工作，以及处理设备、化粪池、隔油池、格栅井、人工湿地产生的污泥、粪便、油脂、栅渣、收割后人工湿地植物等废弃物的处置。</w:t>
            </w:r>
          </w:p>
        </w:tc>
        <w:tc>
          <w:tcPr>
            <w:tcW w:w="78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r>
              <w:rPr>
                <w:rFonts w:hint="eastAsia" w:ascii="宋体" w:hAnsi="宋体" w:cs="Arial"/>
                <w:color w:val="000000"/>
                <w:szCs w:val="21"/>
              </w:rPr>
              <w:t>1</w:t>
            </w:r>
          </w:p>
          <w:p>
            <w:pPr>
              <w:snapToGrid w:val="0"/>
              <w:spacing w:line="380" w:lineRule="atLeast"/>
              <w:jc w:val="center"/>
              <w:rPr>
                <w:rFonts w:ascii="宋体" w:hAnsi="宋体" w:cs="Arial"/>
                <w:color w:val="000000"/>
                <w:szCs w:val="21"/>
              </w:rPr>
            </w:pPr>
          </w:p>
          <w:p>
            <w:pPr>
              <w:snapToGrid w:val="0"/>
              <w:spacing w:line="380" w:lineRule="atLeast"/>
              <w:jc w:val="center"/>
              <w:rPr>
                <w:rFonts w:ascii="宋体" w:hAnsi="宋体" w:cs="Arial"/>
                <w:color w:val="000000"/>
                <w:szCs w:val="21"/>
              </w:rPr>
            </w:pP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万元/年</w:t>
            </w: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30万元/年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22"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13</w:t>
            </w:r>
          </w:p>
        </w:tc>
        <w:tc>
          <w:tcPr>
            <w:tcW w:w="3014" w:type="pct"/>
            <w:gridSpan w:val="3"/>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合计单价</w:t>
            </w:r>
          </w:p>
        </w:tc>
        <w:tc>
          <w:tcPr>
            <w:tcW w:w="623"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c>
          <w:tcPr>
            <w:tcW w:w="939" w:type="pct"/>
            <w:tcBorders>
              <w:top w:val="single" w:color="auto" w:sz="4" w:space="0"/>
              <w:left w:val="single" w:color="auto" w:sz="4" w:space="0"/>
              <w:bottom w:val="single" w:color="auto" w:sz="4" w:space="0"/>
              <w:right w:val="single" w:color="auto" w:sz="4" w:space="0"/>
            </w:tcBorders>
            <w:vAlign w:val="center"/>
          </w:tcPr>
          <w:p>
            <w:pPr>
              <w:snapToGrid w:val="0"/>
              <w:spacing w:line="380" w:lineRule="atLeast"/>
              <w:jc w:val="center"/>
              <w:rPr>
                <w:rFonts w:ascii="宋体" w:hAnsi="宋体" w:cs="Arial"/>
                <w:color w:val="000000"/>
                <w:szCs w:val="21"/>
              </w:rPr>
            </w:pPr>
          </w:p>
        </w:tc>
      </w:tr>
    </w:tbl>
    <w:p>
      <w:pPr>
        <w:snapToGrid w:val="0"/>
        <w:spacing w:before="50" w:after="50"/>
        <w:ind w:left="1016" w:leftChars="134" w:hanging="735" w:hangingChars="350"/>
        <w:jc w:val="left"/>
        <w:rPr>
          <w:rFonts w:hint="eastAsia" w:ascii="宋体" w:hAnsi="宋体"/>
          <w:szCs w:val="32"/>
        </w:rPr>
      </w:pPr>
      <w:r>
        <w:rPr>
          <w:rFonts w:hint="eastAsia" w:ascii="宋体" w:hAnsi="宋体"/>
          <w:szCs w:val="32"/>
        </w:rPr>
        <w:t>注: 1、此表报价单可按项目的明细情况列项填报。</w:t>
      </w:r>
    </w:p>
    <w:p>
      <w:pPr>
        <w:snapToGrid w:val="0"/>
        <w:spacing w:before="50" w:after="50"/>
        <w:ind w:left="1014" w:leftChars="333" w:hanging="315" w:hangingChars="150"/>
        <w:jc w:val="left"/>
        <w:rPr>
          <w:rFonts w:hint="eastAsia" w:ascii="宋体" w:hAnsi="宋体"/>
          <w:szCs w:val="32"/>
        </w:rPr>
      </w:pPr>
      <w:r>
        <w:rPr>
          <w:rFonts w:hint="eastAsia" w:ascii="宋体" w:hAnsi="宋体"/>
          <w:szCs w:val="32"/>
        </w:rPr>
        <w:t>2、以上报价应与“投标费用明细表”中的“合计”数相一致。</w:t>
      </w:r>
    </w:p>
    <w:p>
      <w:pPr>
        <w:snapToGrid w:val="0"/>
        <w:spacing w:before="50" w:after="50"/>
        <w:ind w:left="1014" w:leftChars="333" w:hanging="315" w:hangingChars="150"/>
        <w:jc w:val="left"/>
        <w:rPr>
          <w:rFonts w:hint="eastAsia" w:ascii="宋体" w:hAnsi="宋体"/>
          <w:szCs w:val="32"/>
        </w:rPr>
      </w:pPr>
      <w:r>
        <w:rPr>
          <w:rFonts w:hint="eastAsia" w:ascii="宋体" w:hAnsi="宋体"/>
          <w:szCs w:val="32"/>
        </w:rPr>
        <w:t>3、项目费用包括项目实施所需的工程费、工时费、服务费、运输费、安装调试费、税费及其他一切费用。</w:t>
      </w:r>
    </w:p>
    <w:p>
      <w:pPr>
        <w:snapToGrid w:val="0"/>
        <w:spacing w:before="50" w:after="50"/>
        <w:ind w:left="1014" w:leftChars="333" w:hanging="315" w:hangingChars="150"/>
        <w:jc w:val="left"/>
        <w:rPr>
          <w:rFonts w:hint="eastAsia" w:ascii="宋体" w:hAnsi="宋体"/>
          <w:szCs w:val="32"/>
        </w:rPr>
      </w:pPr>
      <w:r>
        <w:rPr>
          <w:rFonts w:hint="eastAsia" w:ascii="宋体" w:hAnsi="宋体"/>
          <w:szCs w:val="32"/>
        </w:rPr>
        <w:t>4、合计单价填数字即可，无须标注单位。</w:t>
      </w:r>
    </w:p>
    <w:p>
      <w:pPr>
        <w:snapToGrid w:val="0"/>
        <w:spacing w:before="50" w:after="50"/>
        <w:ind w:left="1016" w:leftChars="134" w:hanging="735" w:hangingChars="350"/>
        <w:jc w:val="left"/>
        <w:rPr>
          <w:rFonts w:hint="default" w:ascii="宋体" w:hAnsi="宋体"/>
          <w:szCs w:val="32"/>
          <w:lang w:val="en-US" w:eastAsia="zh-CN"/>
        </w:rPr>
      </w:pPr>
      <w:r>
        <w:rPr>
          <w:rFonts w:hint="eastAsia" w:ascii="宋体" w:hAnsi="宋体"/>
          <w:szCs w:val="32"/>
          <w:lang w:val="en-US" w:eastAsia="zh-CN"/>
        </w:rPr>
        <w:t xml:space="preserve">    5、报价不得超过最高限价，否则投标无效</w:t>
      </w: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1"/>
        <w:snapToGrid w:val="0"/>
        <w:spacing w:beforeLines="0" w:after="120" w:line="240" w:lineRule="auto"/>
        <w:rPr>
          <w:rFonts w:hAnsi="宋体"/>
          <w:szCs w:val="32"/>
        </w:rPr>
      </w:pPr>
    </w:p>
    <w:p>
      <w:pPr>
        <w:pStyle w:val="11"/>
        <w:snapToGrid w:val="0"/>
        <w:spacing w:beforeLines="0" w:after="120" w:line="240" w:lineRule="auto"/>
        <w:rPr>
          <w:rFonts w:hAnsi="宋体"/>
          <w:szCs w:val="32"/>
        </w:rPr>
      </w:pPr>
    </w:p>
    <w:p>
      <w:pPr>
        <w:pStyle w:val="11"/>
        <w:snapToGrid w:val="0"/>
        <w:spacing w:beforeLines="0" w:after="120" w:line="240" w:lineRule="auto"/>
        <w:rPr>
          <w:rFonts w:hAnsi="宋体"/>
          <w:szCs w:val="32"/>
        </w:rPr>
      </w:pPr>
    </w:p>
    <w:p>
      <w:pPr>
        <w:snapToGrid w:val="0"/>
        <w:spacing w:beforeLines="50" w:after="50"/>
        <w:jc w:val="center"/>
        <w:rPr>
          <w:rFonts w:ascii="宋体" w:hAnsi="宋体"/>
          <w:b/>
          <w:sz w:val="32"/>
          <w:szCs w:val="32"/>
        </w:rPr>
      </w:pPr>
    </w:p>
    <w:p>
      <w:pPr>
        <w:snapToGrid w:val="0"/>
        <w:spacing w:beforeLines="50" w:after="50"/>
        <w:jc w:val="center"/>
        <w:rPr>
          <w:rFonts w:ascii="宋体" w:hAnsi="宋体"/>
          <w:b/>
          <w:sz w:val="32"/>
          <w:szCs w:val="32"/>
        </w:rPr>
      </w:pPr>
      <w:r>
        <w:rPr>
          <w:rFonts w:hint="eastAsia" w:ascii="宋体" w:hAnsi="宋体"/>
          <w:b/>
          <w:sz w:val="32"/>
          <w:szCs w:val="32"/>
        </w:rPr>
        <w:t>投标人自评表及所在页码</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844"/>
        <w:gridCol w:w="161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r>
              <w:rPr>
                <w:rFonts w:hint="eastAsia" w:ascii="宋体" w:hAnsi="宋体"/>
                <w:szCs w:val="21"/>
              </w:rPr>
              <w:t>序号</w:t>
            </w:r>
          </w:p>
        </w:tc>
        <w:tc>
          <w:tcPr>
            <w:tcW w:w="2607" w:type="pct"/>
          </w:tcPr>
          <w:p>
            <w:pPr>
              <w:snapToGrid w:val="0"/>
              <w:spacing w:line="400" w:lineRule="exact"/>
              <w:jc w:val="center"/>
              <w:rPr>
                <w:rFonts w:ascii="宋体" w:hAnsi="宋体"/>
                <w:szCs w:val="21"/>
              </w:rPr>
            </w:pPr>
            <w:r>
              <w:rPr>
                <w:rFonts w:hint="eastAsia" w:ascii="宋体" w:hAnsi="宋体"/>
                <w:szCs w:val="21"/>
              </w:rPr>
              <w:t>评分标准内容</w:t>
            </w:r>
          </w:p>
        </w:tc>
        <w:tc>
          <w:tcPr>
            <w:tcW w:w="871" w:type="pct"/>
          </w:tcPr>
          <w:p>
            <w:pPr>
              <w:snapToGrid w:val="0"/>
              <w:spacing w:line="400" w:lineRule="exact"/>
              <w:jc w:val="center"/>
              <w:rPr>
                <w:rFonts w:ascii="宋体" w:hAnsi="宋体"/>
                <w:szCs w:val="21"/>
              </w:rPr>
            </w:pPr>
            <w:r>
              <w:rPr>
                <w:rFonts w:hint="eastAsia" w:ascii="宋体" w:hAnsi="宋体"/>
                <w:szCs w:val="21"/>
              </w:rPr>
              <w:t>自评分</w:t>
            </w:r>
          </w:p>
        </w:tc>
        <w:tc>
          <w:tcPr>
            <w:tcW w:w="1005" w:type="pct"/>
          </w:tcPr>
          <w:p>
            <w:pPr>
              <w:snapToGrid w:val="0"/>
              <w:spacing w:line="400" w:lineRule="exact"/>
              <w:jc w:val="center"/>
              <w:rPr>
                <w:rFonts w:ascii="宋体" w:hAnsi="宋体"/>
                <w:szCs w:val="21"/>
              </w:rPr>
            </w:pPr>
            <w:r>
              <w:rPr>
                <w:rFonts w:hint="eastAsia" w:ascii="宋体" w:hAnsi="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1</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2</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3</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4</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5</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r>
              <w:rPr>
                <w:rFonts w:hint="eastAsia" w:ascii="宋体" w:hAnsi="宋体"/>
                <w:szCs w:val="21"/>
              </w:rPr>
              <w:t>...</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bl>
    <w:p>
      <w:pPr>
        <w:snapToGrid w:val="0"/>
        <w:spacing w:beforeLines="50" w:after="50"/>
        <w:rPr>
          <w:rFonts w:ascii="宋体" w:hAnsi="宋体"/>
          <w:szCs w:val="21"/>
        </w:rPr>
      </w:pPr>
      <w:r>
        <w:rPr>
          <w:rFonts w:hint="eastAsia" w:ascii="宋体" w:hAnsi="宋体"/>
          <w:szCs w:val="21"/>
        </w:rPr>
        <w:t>备注：</w:t>
      </w:r>
    </w:p>
    <w:p>
      <w:pPr>
        <w:numPr>
          <w:ilvl w:val="0"/>
          <w:numId w:val="9"/>
        </w:numPr>
        <w:snapToGrid w:val="0"/>
        <w:spacing w:beforeLines="50" w:after="50"/>
        <w:rPr>
          <w:rFonts w:ascii="宋体" w:hAnsi="宋体"/>
          <w:szCs w:val="21"/>
        </w:rPr>
      </w:pPr>
      <w:r>
        <w:rPr>
          <w:rFonts w:hint="eastAsia" w:ascii="宋体" w:hAnsi="宋体"/>
          <w:szCs w:val="21"/>
        </w:rPr>
        <w:t>该项由投标人根据评分标准自行打分，并按要求提供相应内容所在页码。</w:t>
      </w:r>
    </w:p>
    <w:p>
      <w:pPr>
        <w:numPr>
          <w:ilvl w:val="0"/>
          <w:numId w:val="9"/>
        </w:numPr>
        <w:snapToGrid w:val="0"/>
        <w:spacing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pPr>
        <w:numPr>
          <w:ilvl w:val="0"/>
          <w:numId w:val="9"/>
        </w:numPr>
        <w:snapToGrid w:val="0"/>
        <w:spacing w:beforeLines="50" w:after="50" w:line="360" w:lineRule="auto"/>
        <w:rPr>
          <w:rFonts w:ascii="宋体" w:hAnsi="宋体"/>
          <w:szCs w:val="21"/>
        </w:rPr>
      </w:pPr>
      <w:r>
        <w:rPr>
          <w:rFonts w:hint="eastAsia" w:ascii="宋体" w:hAnsi="宋体"/>
          <w:szCs w:val="21"/>
        </w:rPr>
        <w:t>对于主观性评分分可不填写。</w:t>
      </w:r>
    </w:p>
    <w:p>
      <w:pPr>
        <w:numPr>
          <w:ilvl w:val="0"/>
          <w:numId w:val="9"/>
        </w:numPr>
        <w:snapToGrid w:val="0"/>
        <w:spacing w:beforeLines="50" w:after="50" w:line="360" w:lineRule="auto"/>
        <w:rPr>
          <w:rFonts w:ascii="宋体" w:hAnsi="宋体"/>
          <w:szCs w:val="21"/>
        </w:rPr>
      </w:pPr>
      <w:r>
        <w:rPr>
          <w:rFonts w:hint="eastAsia" w:ascii="宋体" w:hAnsi="宋体"/>
          <w:szCs w:val="21"/>
        </w:rPr>
        <w:t>此表各供应商可以根据实际情况拟定格式。</w:t>
      </w:r>
    </w:p>
    <w:p>
      <w:pPr>
        <w:pStyle w:val="11"/>
        <w:snapToGrid w:val="0"/>
        <w:spacing w:beforeLines="0" w:after="120" w:line="240" w:lineRule="auto"/>
        <w:rPr>
          <w:rFonts w:hAnsi="宋体"/>
          <w:szCs w:val="32"/>
        </w:rPr>
      </w:pPr>
    </w:p>
    <w:p/>
    <w:sectPr>
      <w:headerReference r:id="rId5" w:type="default"/>
      <w:footerReference r:id="rId6" w:type="default"/>
      <w:footerReference r:id="rId7" w:type="even"/>
      <w:pgSz w:w="11906" w:h="16838"/>
      <w:pgMar w:top="1418" w:right="1418" w:bottom="1304"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q41Ml1gEAAKADAAAOAAAAAAAAAAEA&#10;IAAAACMBAABkcnMvZTJvRG9jLnhtbFBLBQYAAAAABgAGAFkBAABrBQAAAAA=&#10;">
          <v:path/>
          <v:fill on="f" focussize="0,0"/>
          <v:stroke on="f" weight="1.25pt" joinstyle="miter"/>
          <v:imagedata o:title=""/>
          <o:lock v:ext="edit"/>
          <v:textbox inset="0mm,0mm,0mm,0mm" style="mso-fit-shape-to-text:t;">
            <w:txbxContent>
              <w:p>
                <w:pPr>
                  <w:pStyle w:val="14"/>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w:r>
  </w:p>
  <w:p>
    <w:pPr>
      <w:pStyle w:val="14"/>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7" o:spid="_x0000_s1027"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L+iaPzYAQAAowMAAA4AAAAAAAAA&#10;AQAgAAAAIwEAAGRycy9lMm9Eb2MueG1sUEsFBgAAAAAGAAYAWQEAAG0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F6700"/>
    <w:multiLevelType w:val="singleLevel"/>
    <w:tmpl w:val="AEEF6700"/>
    <w:lvl w:ilvl="0" w:tentative="0">
      <w:start w:val="1"/>
      <w:numFmt w:val="decimal"/>
      <w:suff w:val="nothing"/>
      <w:lvlText w:val="%1、"/>
      <w:lvlJc w:val="left"/>
    </w:lvl>
  </w:abstractNum>
  <w:abstractNum w:abstractNumId="1">
    <w:nsid w:val="B4A05749"/>
    <w:multiLevelType w:val="singleLevel"/>
    <w:tmpl w:val="B4A05749"/>
    <w:lvl w:ilvl="0" w:tentative="0">
      <w:start w:val="1"/>
      <w:numFmt w:val="decimal"/>
      <w:suff w:val="nothing"/>
      <w:lvlText w:val="%1、"/>
      <w:lvlJc w:val="left"/>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F0BEDEC9"/>
    <w:multiLevelType w:val="singleLevel"/>
    <w:tmpl w:val="F0BEDEC9"/>
    <w:lvl w:ilvl="0" w:tentative="0">
      <w:start w:val="10"/>
      <w:numFmt w:val="decimal"/>
      <w:suff w:val="nothing"/>
      <w:lvlText w:val="%1、"/>
      <w:lvlJc w:val="left"/>
    </w:lvl>
  </w:abstractNum>
  <w:abstractNum w:abstractNumId="4">
    <w:nsid w:val="00000007"/>
    <w:multiLevelType w:val="singleLevel"/>
    <w:tmpl w:val="00000007"/>
    <w:lvl w:ilvl="0" w:tentative="0">
      <w:start w:val="1"/>
      <w:numFmt w:val="decimal"/>
      <w:pStyle w:val="29"/>
      <w:lvlText w:val="%1."/>
      <w:lvlJc w:val="left"/>
      <w:pPr>
        <w:tabs>
          <w:tab w:val="left" w:pos="1200"/>
        </w:tabs>
        <w:ind w:left="1200" w:hanging="360"/>
      </w:pPr>
    </w:lvl>
  </w:abstractNum>
  <w:abstractNum w:abstractNumId="5">
    <w:nsid w:val="0C9D24FE"/>
    <w:multiLevelType w:val="singleLevel"/>
    <w:tmpl w:val="0C9D24FE"/>
    <w:lvl w:ilvl="0" w:tentative="0">
      <w:start w:val="1"/>
      <w:numFmt w:val="decimal"/>
      <w:lvlText w:val="%1."/>
      <w:lvlJc w:val="left"/>
      <w:pPr>
        <w:tabs>
          <w:tab w:val="left" w:pos="312"/>
        </w:tabs>
      </w:pPr>
    </w:lvl>
  </w:abstractNum>
  <w:abstractNum w:abstractNumId="6">
    <w:nsid w:val="5343DB53"/>
    <w:multiLevelType w:val="singleLevel"/>
    <w:tmpl w:val="5343DB53"/>
    <w:lvl w:ilvl="0" w:tentative="0">
      <w:start w:val="2"/>
      <w:numFmt w:val="chineseCounting"/>
      <w:suff w:val="nothing"/>
      <w:lvlText w:val="（%1）"/>
      <w:lvlJc w:val="left"/>
    </w:lvl>
  </w:abstractNum>
  <w:abstractNum w:abstractNumId="7">
    <w:nsid w:val="6257D5AD"/>
    <w:multiLevelType w:val="singleLevel"/>
    <w:tmpl w:val="6257D5AD"/>
    <w:lvl w:ilvl="0" w:tentative="0">
      <w:start w:val="1"/>
      <w:numFmt w:val="decimal"/>
      <w:suff w:val="nothing"/>
      <w:lvlText w:val="%1、"/>
      <w:lvlJc w:val="left"/>
    </w:lvl>
  </w:abstractNum>
  <w:abstractNum w:abstractNumId="8">
    <w:nsid w:val="6F344DF8"/>
    <w:multiLevelType w:val="singleLevel"/>
    <w:tmpl w:val="6F344DF8"/>
    <w:lvl w:ilvl="0" w:tentative="0">
      <w:start w:val="1"/>
      <w:numFmt w:val="decimal"/>
      <w:suff w:val="space"/>
      <w:lvlText w:val="%1."/>
      <w:lvlJc w:val="left"/>
    </w:lvl>
  </w:abstractNum>
  <w:num w:numId="1">
    <w:abstractNumId w:val="4"/>
  </w:num>
  <w:num w:numId="2">
    <w:abstractNumId w:val="2"/>
  </w:num>
  <w:num w:numId="3">
    <w:abstractNumId w:val="1"/>
  </w:num>
  <w:num w:numId="4">
    <w:abstractNumId w:val="0"/>
  </w:num>
  <w:num w:numId="5">
    <w:abstractNumId w:val="6"/>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71E00"/>
    <w:rsid w:val="00271E00"/>
    <w:rsid w:val="00293A4E"/>
    <w:rsid w:val="002E504C"/>
    <w:rsid w:val="00301F39"/>
    <w:rsid w:val="006514ED"/>
    <w:rsid w:val="00680625"/>
    <w:rsid w:val="006C5FBE"/>
    <w:rsid w:val="0075439F"/>
    <w:rsid w:val="007814C0"/>
    <w:rsid w:val="00795BBE"/>
    <w:rsid w:val="008257B8"/>
    <w:rsid w:val="008610B6"/>
    <w:rsid w:val="00864650"/>
    <w:rsid w:val="008A105E"/>
    <w:rsid w:val="00B54E22"/>
    <w:rsid w:val="00BE567E"/>
    <w:rsid w:val="00CE1C0E"/>
    <w:rsid w:val="00D668D3"/>
    <w:rsid w:val="00D86C14"/>
    <w:rsid w:val="00DC5D7F"/>
    <w:rsid w:val="00EB697C"/>
    <w:rsid w:val="01FA1013"/>
    <w:rsid w:val="025F4A76"/>
    <w:rsid w:val="03260BD5"/>
    <w:rsid w:val="034D57DD"/>
    <w:rsid w:val="036327B2"/>
    <w:rsid w:val="044340F7"/>
    <w:rsid w:val="05037DA4"/>
    <w:rsid w:val="051E6F90"/>
    <w:rsid w:val="05CE27F3"/>
    <w:rsid w:val="060F77A6"/>
    <w:rsid w:val="076D5C46"/>
    <w:rsid w:val="08551DA2"/>
    <w:rsid w:val="096B63AC"/>
    <w:rsid w:val="0AB13976"/>
    <w:rsid w:val="0B864B73"/>
    <w:rsid w:val="0C2D3AF6"/>
    <w:rsid w:val="0D2F79FF"/>
    <w:rsid w:val="0D5278C3"/>
    <w:rsid w:val="0DDC1D74"/>
    <w:rsid w:val="0DDD312E"/>
    <w:rsid w:val="0DFE3586"/>
    <w:rsid w:val="0EAA3AE3"/>
    <w:rsid w:val="0EFD2494"/>
    <w:rsid w:val="0F1877D0"/>
    <w:rsid w:val="0FE755C2"/>
    <w:rsid w:val="117A2313"/>
    <w:rsid w:val="11C224EE"/>
    <w:rsid w:val="11CE70D8"/>
    <w:rsid w:val="11F513C3"/>
    <w:rsid w:val="14910212"/>
    <w:rsid w:val="149F058F"/>
    <w:rsid w:val="150428D8"/>
    <w:rsid w:val="15B72A6F"/>
    <w:rsid w:val="16ED3645"/>
    <w:rsid w:val="179D4709"/>
    <w:rsid w:val="1802673E"/>
    <w:rsid w:val="18906E28"/>
    <w:rsid w:val="191A7DB2"/>
    <w:rsid w:val="199E7D91"/>
    <w:rsid w:val="19C61144"/>
    <w:rsid w:val="1A7B516E"/>
    <w:rsid w:val="1D0143DD"/>
    <w:rsid w:val="1D570384"/>
    <w:rsid w:val="20376C9F"/>
    <w:rsid w:val="208A03B1"/>
    <w:rsid w:val="21800838"/>
    <w:rsid w:val="219A79E7"/>
    <w:rsid w:val="21F62798"/>
    <w:rsid w:val="228B2A32"/>
    <w:rsid w:val="229D57EF"/>
    <w:rsid w:val="230B5C6F"/>
    <w:rsid w:val="232D55EF"/>
    <w:rsid w:val="24283A08"/>
    <w:rsid w:val="24686203"/>
    <w:rsid w:val="25331C0B"/>
    <w:rsid w:val="2AA2605F"/>
    <w:rsid w:val="2B3D1C04"/>
    <w:rsid w:val="2BAC0A30"/>
    <w:rsid w:val="2E232093"/>
    <w:rsid w:val="2F206317"/>
    <w:rsid w:val="2F2A1D86"/>
    <w:rsid w:val="2F752F4B"/>
    <w:rsid w:val="313E169F"/>
    <w:rsid w:val="320E1B73"/>
    <w:rsid w:val="32607485"/>
    <w:rsid w:val="33461026"/>
    <w:rsid w:val="33A8387F"/>
    <w:rsid w:val="33EB7D41"/>
    <w:rsid w:val="34371FB5"/>
    <w:rsid w:val="344A7B6F"/>
    <w:rsid w:val="34F9395D"/>
    <w:rsid w:val="35DF5D80"/>
    <w:rsid w:val="35EF1DD6"/>
    <w:rsid w:val="36204A54"/>
    <w:rsid w:val="368B14B7"/>
    <w:rsid w:val="36E32CDF"/>
    <w:rsid w:val="37203F2E"/>
    <w:rsid w:val="372C1B5A"/>
    <w:rsid w:val="37C34928"/>
    <w:rsid w:val="38A3784F"/>
    <w:rsid w:val="39751ABD"/>
    <w:rsid w:val="3A7766C0"/>
    <w:rsid w:val="3B527190"/>
    <w:rsid w:val="3C291F53"/>
    <w:rsid w:val="3C3D3C43"/>
    <w:rsid w:val="3D650523"/>
    <w:rsid w:val="3E40386D"/>
    <w:rsid w:val="3E4A0E47"/>
    <w:rsid w:val="3F4E54BA"/>
    <w:rsid w:val="40482747"/>
    <w:rsid w:val="41654990"/>
    <w:rsid w:val="428D1F20"/>
    <w:rsid w:val="42D20222"/>
    <w:rsid w:val="44646693"/>
    <w:rsid w:val="44DF7977"/>
    <w:rsid w:val="45E809FB"/>
    <w:rsid w:val="461764DB"/>
    <w:rsid w:val="46411ABE"/>
    <w:rsid w:val="47B60623"/>
    <w:rsid w:val="48115FEF"/>
    <w:rsid w:val="487C7BDC"/>
    <w:rsid w:val="489F6AB0"/>
    <w:rsid w:val="48EC64CB"/>
    <w:rsid w:val="4A82100C"/>
    <w:rsid w:val="4D4A3555"/>
    <w:rsid w:val="4DD348FE"/>
    <w:rsid w:val="4DD3628F"/>
    <w:rsid w:val="4E1E5378"/>
    <w:rsid w:val="4E623F93"/>
    <w:rsid w:val="4E6538DC"/>
    <w:rsid w:val="4F2522E1"/>
    <w:rsid w:val="4FA37F2B"/>
    <w:rsid w:val="4FB32E94"/>
    <w:rsid w:val="5086134B"/>
    <w:rsid w:val="51B63DCC"/>
    <w:rsid w:val="51D45BAA"/>
    <w:rsid w:val="52D506D0"/>
    <w:rsid w:val="53933738"/>
    <w:rsid w:val="54EC7E5F"/>
    <w:rsid w:val="55AC68A6"/>
    <w:rsid w:val="582E1A66"/>
    <w:rsid w:val="59292E23"/>
    <w:rsid w:val="59402E7C"/>
    <w:rsid w:val="5ADB7C95"/>
    <w:rsid w:val="5B7D0CFF"/>
    <w:rsid w:val="5D871C84"/>
    <w:rsid w:val="5DA243BC"/>
    <w:rsid w:val="5F8C4F92"/>
    <w:rsid w:val="5FD64687"/>
    <w:rsid w:val="61002499"/>
    <w:rsid w:val="64425949"/>
    <w:rsid w:val="64697E50"/>
    <w:rsid w:val="65AA74EE"/>
    <w:rsid w:val="66011337"/>
    <w:rsid w:val="67506A93"/>
    <w:rsid w:val="67590D78"/>
    <w:rsid w:val="67802075"/>
    <w:rsid w:val="67F325A0"/>
    <w:rsid w:val="684B05AE"/>
    <w:rsid w:val="698C6377"/>
    <w:rsid w:val="6AD10700"/>
    <w:rsid w:val="6B4231D3"/>
    <w:rsid w:val="6BA35A94"/>
    <w:rsid w:val="6BF130D6"/>
    <w:rsid w:val="6CE728F3"/>
    <w:rsid w:val="70613ABF"/>
    <w:rsid w:val="7076156C"/>
    <w:rsid w:val="710841E0"/>
    <w:rsid w:val="714B670E"/>
    <w:rsid w:val="72F930CE"/>
    <w:rsid w:val="741B6D1F"/>
    <w:rsid w:val="74B55F80"/>
    <w:rsid w:val="753744AF"/>
    <w:rsid w:val="75582CE4"/>
    <w:rsid w:val="756F71AF"/>
    <w:rsid w:val="7571429D"/>
    <w:rsid w:val="757832FB"/>
    <w:rsid w:val="75B47417"/>
    <w:rsid w:val="75B4798B"/>
    <w:rsid w:val="763235CF"/>
    <w:rsid w:val="77252A24"/>
    <w:rsid w:val="772C685C"/>
    <w:rsid w:val="773149E5"/>
    <w:rsid w:val="777F1147"/>
    <w:rsid w:val="79E63674"/>
    <w:rsid w:val="7A09625D"/>
    <w:rsid w:val="7A323394"/>
    <w:rsid w:val="7A4C3E24"/>
    <w:rsid w:val="7A71731B"/>
    <w:rsid w:val="7AD6298E"/>
    <w:rsid w:val="7AFF5EF3"/>
    <w:rsid w:val="7B2956F3"/>
    <w:rsid w:val="7B9A2995"/>
    <w:rsid w:val="7BD25C17"/>
    <w:rsid w:val="7BE00B38"/>
    <w:rsid w:val="7C1E4119"/>
    <w:rsid w:val="7C4C488D"/>
    <w:rsid w:val="7D0A7F18"/>
    <w:rsid w:val="7D9116F6"/>
    <w:rsid w:val="7DA75656"/>
    <w:rsid w:val="7E0E193A"/>
    <w:rsid w:val="7E0E7650"/>
    <w:rsid w:val="7E7A7AFA"/>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章正文"/>
    <w:basedOn w:val="1"/>
    <w:qFormat/>
    <w:locked/>
    <w:uiPriority w:val="0"/>
    <w:pPr>
      <w:spacing w:beforeLines="50" w:after="120" w:line="300" w:lineRule="auto"/>
      <w:ind w:firstLine="480"/>
    </w:pPr>
    <w:rPr>
      <w:rFonts w:ascii="Helvetica" w:hAnsi="Helvetica"/>
      <w:kern w:val="0"/>
    </w:rPr>
  </w:style>
  <w:style w:type="paragraph" w:styleId="4">
    <w:name w:val="Normal Indent"/>
    <w:basedOn w:val="1"/>
    <w:qFormat/>
    <w:uiPriority w:val="0"/>
    <w:pPr>
      <w:ind w:firstLine="420"/>
    </w:p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pPr>
      <w:spacing w:after="120"/>
    </w:pPr>
  </w:style>
  <w:style w:type="paragraph" w:styleId="9">
    <w:name w:val="Body Text First Indent"/>
    <w:basedOn w:val="8"/>
    <w:qFormat/>
    <w:uiPriority w:val="0"/>
    <w:pPr>
      <w:ind w:firstLine="420" w:firstLineChars="100"/>
    </w:pPr>
  </w:style>
  <w:style w:type="paragraph" w:styleId="10">
    <w:name w:val="Body Text Indent"/>
    <w:basedOn w:val="1"/>
    <w:qFormat/>
    <w:uiPriority w:val="99"/>
    <w:pPr>
      <w:spacing w:after="120"/>
      <w:ind w:left="420" w:leftChars="200"/>
    </w:pPr>
  </w:style>
  <w:style w:type="paragraph" w:styleId="11">
    <w:name w:val="Plain Text"/>
    <w:basedOn w:val="1"/>
    <w:qFormat/>
    <w:uiPriority w:val="99"/>
    <w:pPr>
      <w:spacing w:beforeLines="50" w:afterLines="50" w:line="400" w:lineRule="exact"/>
    </w:pPr>
    <w:rPr>
      <w:rFonts w:ascii="宋体" w:hAnsi="Courier New"/>
      <w:sz w:val="24"/>
      <w:szCs w:val="24"/>
    </w:rPr>
  </w:style>
  <w:style w:type="paragraph" w:styleId="12">
    <w:name w:val="Date"/>
    <w:basedOn w:val="1"/>
    <w:next w:val="1"/>
    <w:qFormat/>
    <w:uiPriority w:val="0"/>
    <w:pPr>
      <w:ind w:left="100" w:leftChars="2500"/>
    </w:pPr>
    <w:rPr>
      <w:szCs w:val="24"/>
    </w:rPr>
  </w:style>
  <w:style w:type="paragraph" w:styleId="13">
    <w:name w:val="Body Text Indent 2"/>
    <w:basedOn w:val="1"/>
    <w:qFormat/>
    <w:uiPriority w:val="0"/>
    <w:pPr>
      <w:spacing w:line="320" w:lineRule="atLeast"/>
      <w:ind w:firstLine="600" w:firstLineChars="250"/>
    </w:pPr>
    <w:rPr>
      <w:rFonts w:ascii="宋体" w:hAnsi="宋体"/>
      <w:sz w:val="24"/>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360" w:lineRule="auto"/>
      <w:jc w:val="left"/>
    </w:pPr>
    <w:rPr>
      <w:sz w:val="24"/>
    </w:rPr>
  </w:style>
  <w:style w:type="paragraph" w:styleId="17">
    <w:name w:val="List"/>
    <w:basedOn w:val="1"/>
    <w:qFormat/>
    <w:uiPriority w:val="0"/>
    <w:pPr>
      <w:ind w:left="200" w:hanging="200" w:hangingChars="200"/>
    </w:pPr>
    <w:rPr>
      <w:szCs w:val="24"/>
    </w:rPr>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0"/>
    <w:pPr>
      <w:widowControl/>
      <w:spacing w:beforeAutospacing="1" w:afterAutospacing="1"/>
      <w:jc w:val="left"/>
    </w:pPr>
    <w:rPr>
      <w:rFonts w:ascii="宋体" w:hAnsi="宋体"/>
      <w:color w:val="000000"/>
      <w:kern w:val="0"/>
      <w:sz w:val="24"/>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2"/>
    <w:basedOn w:val="10"/>
    <w:unhideWhenUsed/>
    <w:qFormat/>
    <w:uiPriority w:val="0"/>
    <w:pPr>
      <w:ind w:firstLine="420" w:firstLineChars="200"/>
    </w:pPr>
    <w:rPr>
      <w:rFonts w:eastAsia="Times New Roman"/>
    </w:rPr>
  </w:style>
  <w:style w:type="table" w:styleId="23">
    <w:name w:val="Table Grid"/>
    <w:basedOn w:val="2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Hyperlink"/>
    <w:unhideWhenUsed/>
    <w:qFormat/>
    <w:uiPriority w:val="99"/>
    <w:rPr>
      <w:color w:val="0000FF"/>
      <w:u w:val="single"/>
    </w:rPr>
  </w:style>
  <w:style w:type="paragraph" w:customStyle="1" w:styleId="29">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0">
    <w:name w:val="font41"/>
    <w:basedOn w:val="24"/>
    <w:qFormat/>
    <w:uiPriority w:val="0"/>
    <w:rPr>
      <w:rFonts w:hint="eastAsia" w:ascii="宋体" w:hAnsi="宋体" w:eastAsia="宋体" w:cs="宋体"/>
      <w:color w:val="000000"/>
      <w:sz w:val="16"/>
      <w:szCs w:val="16"/>
      <w:u w:val="none"/>
    </w:rPr>
  </w:style>
  <w:style w:type="paragraph" w:customStyle="1" w:styleId="31">
    <w:name w:val="列出段落1"/>
    <w:basedOn w:val="1"/>
    <w:qFormat/>
    <w:uiPriority w:val="0"/>
    <w:pPr>
      <w:ind w:firstLine="420" w:firstLineChars="200"/>
    </w:pPr>
    <w:rPr>
      <w:rFonts w:asciiTheme="minorHAnsi" w:hAnsiTheme="minorHAnsi" w:eastAsiaTheme="minorEastAsia" w:cstheme="minorBidi"/>
    </w:rPr>
  </w:style>
  <w:style w:type="paragraph" w:customStyle="1" w:styleId="32">
    <w:name w:val="正文（缩进）"/>
    <w:basedOn w:val="1"/>
    <w:qFormat/>
    <w:uiPriority w:val="0"/>
    <w:pPr>
      <w:spacing w:before="156" w:after="156"/>
      <w:ind w:firstLine="480" w:firstLineChars="200"/>
    </w:pPr>
  </w:style>
  <w:style w:type="paragraph" w:customStyle="1" w:styleId="33">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69</Pages>
  <Words>6982</Words>
  <Characters>39802</Characters>
  <Lines>331</Lines>
  <Paragraphs>93</Paragraphs>
  <TotalTime>21</TotalTime>
  <ScaleCrop>false</ScaleCrop>
  <LinksUpToDate>false</LinksUpToDate>
  <CharactersWithSpaces>46691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2021-05-31T10:57:00Z</dcterms:created>
  <dc:creator>Administrator</dc:creator>
  <cp:lastModifiedBy>小飞飞</cp:lastModifiedBy>
  <cp:lastPrinted>2021-06-01T00:37:00Z</cp:lastPrinted>
  <dcterms:modified xsi:type="dcterms:W3CDTF">2021-06-01T01:20:37Z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F1A8A402D5ED4C9D981ED17DDE79AD82</vt:lpwstr>
  </property>
</Properties>
</file>